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16" w:rsidRPr="00B30208" w:rsidRDefault="00F248F9" w:rsidP="005B5895">
      <w:pPr>
        <w:pStyle w:val="Ttulo1"/>
        <w:spacing w:before="0" w:after="0"/>
        <w:jc w:val="both"/>
      </w:pPr>
      <w:r w:rsidRPr="00B30208">
        <w:tab/>
      </w:r>
      <w:r w:rsidR="005B5895" w:rsidRPr="00B30208">
        <w:t>P</w:t>
      </w:r>
      <w:r w:rsidR="00233D16" w:rsidRPr="00B30208">
        <w:t xml:space="preserve">ROJETO DE LEI DE CONVERSÃO </w:t>
      </w:r>
      <w:r w:rsidR="00B30208" w:rsidRPr="00B30208">
        <w:t>Nº 9</w:t>
      </w:r>
      <w:r w:rsidR="00233D16" w:rsidRPr="00B30208">
        <w:t>, DE 2016</w:t>
      </w:r>
    </w:p>
    <w:p w:rsidR="005B5895" w:rsidRPr="00B30208" w:rsidRDefault="005B5895" w:rsidP="005B5895">
      <w:r w:rsidRPr="00B30208">
        <w:t>(</w:t>
      </w:r>
      <w:r w:rsidR="00B30208" w:rsidRPr="00B30208">
        <w:t>Proveniente da Medida Provisória nº 7</w:t>
      </w:r>
      <w:r w:rsidRPr="00B30208">
        <w:t>12, de 2016)</w:t>
      </w:r>
    </w:p>
    <w:p w:rsidR="00233D16" w:rsidRPr="00B30208" w:rsidRDefault="00233D16" w:rsidP="00233D16">
      <w:pPr>
        <w:spacing w:before="840"/>
        <w:ind w:left="3686" w:firstLine="566"/>
        <w:jc w:val="both"/>
      </w:pPr>
      <w:r w:rsidRPr="00B30208">
        <w:rPr>
          <w:sz w:val="24"/>
          <w:szCs w:val="24"/>
        </w:rPr>
        <w:t xml:space="preserve">Dispõe sobre a adoção de medidas de vigilância em saúde quando verificada situação de iminente perigo à saúde pública pela presença do mosquito transmissor do Vírus da Dengue, do Vírus Chikungunya e do Zika Vírus. </w:t>
      </w:r>
    </w:p>
    <w:p w:rsidR="00233D16" w:rsidRPr="00B30208" w:rsidRDefault="00233D16" w:rsidP="00233D16">
      <w:pPr>
        <w:spacing w:line="360" w:lineRule="auto"/>
        <w:jc w:val="both"/>
      </w:pPr>
    </w:p>
    <w:p w:rsidR="00233D16" w:rsidRPr="00B30208" w:rsidRDefault="00233D16" w:rsidP="00233D16">
      <w:pPr>
        <w:spacing w:line="360" w:lineRule="auto"/>
        <w:jc w:val="both"/>
      </w:pPr>
    </w:p>
    <w:p w:rsidR="00233D16" w:rsidRPr="00B30208" w:rsidRDefault="00233D16" w:rsidP="00233D16">
      <w:pPr>
        <w:spacing w:after="240" w:line="360" w:lineRule="auto"/>
        <w:ind w:firstLine="1701"/>
        <w:jc w:val="both"/>
      </w:pPr>
      <w:r w:rsidRPr="00B30208">
        <w:rPr>
          <w:sz w:val="24"/>
          <w:szCs w:val="24"/>
        </w:rPr>
        <w:t>O Congresso Nacional decreta:</w:t>
      </w:r>
    </w:p>
    <w:p w:rsidR="00233D16" w:rsidRPr="00B30208" w:rsidRDefault="00233D16" w:rsidP="00233D16">
      <w:pPr>
        <w:spacing w:after="240" w:line="360" w:lineRule="auto"/>
        <w:ind w:firstLine="1701"/>
        <w:jc w:val="both"/>
      </w:pPr>
      <w:r w:rsidRPr="00B30208">
        <w:rPr>
          <w:sz w:val="24"/>
          <w:szCs w:val="24"/>
        </w:rPr>
        <w:t xml:space="preserve">Art. 1º. Na situação de iminente perigo à saúde pública pela presença do mosquito transmissor do Vírus da Dengue, do Vírus Chikungunya e do Zika Vírus, a autoridade máxima do Sistema Único de Saúde de âmbito federal, estadual, distrital e municipal fica autorizada a determinar e executar as medidas necessárias ao controle das doenças causadas pelos referidos vírus, nos termos da Lei nº 8.080, de 19 de setembro de 1990, e demais normas aplicáveis, enquanto perdurar a Emergência em Saúde Pública de Importância Nacional. </w:t>
      </w:r>
    </w:p>
    <w:p w:rsidR="00233D16" w:rsidRPr="00B30208" w:rsidRDefault="00233D16" w:rsidP="00233D16">
      <w:pPr>
        <w:spacing w:after="240" w:line="360" w:lineRule="auto"/>
        <w:ind w:firstLine="1701"/>
        <w:jc w:val="both"/>
        <w:rPr>
          <w:sz w:val="24"/>
          <w:szCs w:val="24"/>
        </w:rPr>
      </w:pPr>
      <w:r w:rsidRPr="00B30208">
        <w:rPr>
          <w:sz w:val="24"/>
          <w:szCs w:val="24"/>
        </w:rPr>
        <w:t xml:space="preserve">§ 1º Entre as medidas que podem ser determinadas e executadas para a contenção das doenças causadas pelos vírus de que trata o caput, destacam-se: </w:t>
      </w:r>
    </w:p>
    <w:p w:rsidR="009E1AA8" w:rsidRPr="00B30208" w:rsidRDefault="009E1AA8" w:rsidP="00233D16">
      <w:pPr>
        <w:spacing w:after="240" w:line="360" w:lineRule="auto"/>
        <w:ind w:firstLine="1701"/>
        <w:jc w:val="both"/>
        <w:rPr>
          <w:color w:val="auto"/>
        </w:rPr>
      </w:pPr>
      <w:r w:rsidRPr="00B30208">
        <w:rPr>
          <w:color w:val="auto"/>
          <w:sz w:val="24"/>
          <w:szCs w:val="24"/>
        </w:rPr>
        <w:t xml:space="preserve">I – </w:t>
      </w:r>
      <w:proofErr w:type="gramStart"/>
      <w:r w:rsidR="002F5BAF" w:rsidRPr="00B30208">
        <w:rPr>
          <w:color w:val="auto"/>
          <w:sz w:val="24"/>
          <w:szCs w:val="24"/>
        </w:rPr>
        <w:t>instituição</w:t>
      </w:r>
      <w:proofErr w:type="gramEnd"/>
      <w:r w:rsidRPr="00B30208">
        <w:rPr>
          <w:color w:val="auto"/>
          <w:sz w:val="24"/>
          <w:szCs w:val="24"/>
        </w:rPr>
        <w:t>, em nível nacional, d</w:t>
      </w:r>
      <w:r w:rsidR="00C16071" w:rsidRPr="00B30208">
        <w:rPr>
          <w:color w:val="auto"/>
          <w:sz w:val="24"/>
          <w:szCs w:val="24"/>
        </w:rPr>
        <w:t>o dia de sábado como</w:t>
      </w:r>
      <w:r w:rsidRPr="00B30208">
        <w:rPr>
          <w:color w:val="auto"/>
          <w:sz w:val="24"/>
          <w:szCs w:val="24"/>
        </w:rPr>
        <w:t xml:space="preserve"> destinado </w:t>
      </w:r>
      <w:r w:rsidR="0070614E" w:rsidRPr="00B30208">
        <w:rPr>
          <w:color w:val="auto"/>
          <w:sz w:val="24"/>
          <w:szCs w:val="24"/>
        </w:rPr>
        <w:t>a</w:t>
      </w:r>
      <w:r w:rsidRPr="00B30208">
        <w:rPr>
          <w:color w:val="auto"/>
          <w:sz w:val="24"/>
          <w:szCs w:val="24"/>
        </w:rPr>
        <w:t xml:space="preserve"> atividades de limpeza nos imóveis, com identificação e eliminação de focos de mosquitos vetores</w:t>
      </w:r>
      <w:r w:rsidR="00FE7976" w:rsidRPr="00B30208">
        <w:rPr>
          <w:color w:val="auto"/>
          <w:sz w:val="24"/>
          <w:szCs w:val="24"/>
        </w:rPr>
        <w:t>, com ampla mobilização da comunidade</w:t>
      </w:r>
      <w:r w:rsidRPr="00B30208">
        <w:rPr>
          <w:color w:val="auto"/>
          <w:sz w:val="24"/>
          <w:szCs w:val="24"/>
        </w:rPr>
        <w:t>;</w:t>
      </w:r>
    </w:p>
    <w:p w:rsidR="00233D16" w:rsidRPr="00B30208" w:rsidRDefault="00233D16" w:rsidP="00233D16">
      <w:pPr>
        <w:spacing w:after="240" w:line="360" w:lineRule="auto"/>
        <w:ind w:firstLine="1701"/>
        <w:jc w:val="both"/>
      </w:pPr>
      <w:r w:rsidRPr="00B30208">
        <w:rPr>
          <w:sz w:val="24"/>
          <w:szCs w:val="24"/>
        </w:rPr>
        <w:t>I</w:t>
      </w:r>
      <w:r w:rsidR="009E1AA8" w:rsidRPr="00B30208">
        <w:rPr>
          <w:sz w:val="24"/>
          <w:szCs w:val="24"/>
        </w:rPr>
        <w:t>I</w:t>
      </w:r>
      <w:r w:rsidRPr="00B30208">
        <w:rPr>
          <w:sz w:val="24"/>
          <w:szCs w:val="24"/>
        </w:rPr>
        <w:t xml:space="preserve"> - </w:t>
      </w:r>
      <w:proofErr w:type="gramStart"/>
      <w:r w:rsidRPr="00B30208">
        <w:rPr>
          <w:sz w:val="24"/>
          <w:szCs w:val="24"/>
        </w:rPr>
        <w:t>realização</w:t>
      </w:r>
      <w:proofErr w:type="gramEnd"/>
      <w:r w:rsidRPr="00B30208">
        <w:rPr>
          <w:sz w:val="24"/>
          <w:szCs w:val="24"/>
        </w:rPr>
        <w:t xml:space="preserve"> de campanhas educativas e de orientação à população, em especial às mulheres em idade fértil e gestantes</w:t>
      </w:r>
      <w:r w:rsidR="009E1AA8" w:rsidRPr="00B30208">
        <w:rPr>
          <w:sz w:val="24"/>
          <w:szCs w:val="24"/>
        </w:rPr>
        <w:t>,</w:t>
      </w:r>
      <w:r w:rsidRPr="00B30208">
        <w:rPr>
          <w:sz w:val="24"/>
          <w:szCs w:val="24"/>
        </w:rPr>
        <w:t xml:space="preserve"> divulgadas em todos os meios de comunicação, incluindo programas radiofônicos estatais; </w:t>
      </w:r>
    </w:p>
    <w:p w:rsidR="00233D16" w:rsidRPr="00B30208" w:rsidRDefault="00233D16" w:rsidP="00233D16">
      <w:pPr>
        <w:spacing w:after="240" w:line="360" w:lineRule="auto"/>
        <w:ind w:firstLine="1701"/>
        <w:jc w:val="both"/>
      </w:pPr>
      <w:r w:rsidRPr="00B30208">
        <w:rPr>
          <w:sz w:val="24"/>
          <w:szCs w:val="24"/>
        </w:rPr>
        <w:t>I</w:t>
      </w:r>
      <w:r w:rsidR="000011A2">
        <w:rPr>
          <w:sz w:val="24"/>
          <w:szCs w:val="24"/>
        </w:rPr>
        <w:t>I</w:t>
      </w:r>
      <w:r w:rsidRPr="00B30208">
        <w:rPr>
          <w:sz w:val="24"/>
          <w:szCs w:val="24"/>
        </w:rPr>
        <w:t xml:space="preserve">I - realização de visitas ampla e antecipadamente comunicadas </w:t>
      </w:r>
      <w:r w:rsidRPr="00B30208">
        <w:rPr>
          <w:sz w:val="24"/>
          <w:szCs w:val="24"/>
        </w:rPr>
        <w:lastRenderedPageBreak/>
        <w:t xml:space="preserve">a todos os imóveis públicos e particulares, ainda que com posse precária, para eliminação do mosquito e de seus criadouros, em área identificada como potencial possuidora de focos de transmissão; </w:t>
      </w:r>
    </w:p>
    <w:p w:rsidR="00233D16" w:rsidRPr="00B30208" w:rsidRDefault="000011A2" w:rsidP="00233D16">
      <w:pPr>
        <w:spacing w:after="240" w:line="360" w:lineRule="auto"/>
        <w:ind w:firstLine="1701"/>
        <w:jc w:val="both"/>
      </w:pPr>
      <w:r>
        <w:rPr>
          <w:sz w:val="24"/>
          <w:szCs w:val="24"/>
        </w:rPr>
        <w:t>IV</w:t>
      </w:r>
      <w:r w:rsidR="00233D16" w:rsidRPr="00B30208">
        <w:rPr>
          <w:sz w:val="24"/>
          <w:szCs w:val="24"/>
        </w:rPr>
        <w:t xml:space="preserve">- </w:t>
      </w:r>
      <w:proofErr w:type="gramStart"/>
      <w:r w:rsidR="00233D16" w:rsidRPr="00B30208">
        <w:rPr>
          <w:sz w:val="24"/>
          <w:szCs w:val="24"/>
        </w:rPr>
        <w:t>ingresso</w:t>
      </w:r>
      <w:proofErr w:type="gramEnd"/>
      <w:r w:rsidR="00233D16" w:rsidRPr="00B30208">
        <w:rPr>
          <w:sz w:val="24"/>
          <w:szCs w:val="24"/>
        </w:rPr>
        <w:t xml:space="preserve"> forçado em imóveis públicos e particulares, no caso de situação de abandono,</w:t>
      </w:r>
      <w:r w:rsidR="00233D16" w:rsidRPr="00B30208">
        <w:rPr>
          <w:color w:val="FF0000"/>
          <w:sz w:val="24"/>
          <w:szCs w:val="24"/>
        </w:rPr>
        <w:t xml:space="preserve"> </w:t>
      </w:r>
      <w:r w:rsidR="00233D16" w:rsidRPr="00B30208">
        <w:rPr>
          <w:sz w:val="24"/>
          <w:szCs w:val="24"/>
        </w:rPr>
        <w:t xml:space="preserve">ausência ou recusa de pessoa que possa permitir o acesso de agente público, regularmente designado e identificado, quando se mostre essencial para a contenção das doenças. </w:t>
      </w:r>
    </w:p>
    <w:p w:rsidR="00233D16" w:rsidRPr="00B30208" w:rsidRDefault="00233D16" w:rsidP="00233D16">
      <w:pPr>
        <w:spacing w:after="240" w:line="360" w:lineRule="auto"/>
        <w:ind w:firstLine="1701"/>
        <w:jc w:val="both"/>
      </w:pPr>
      <w:r w:rsidRPr="00B30208">
        <w:rPr>
          <w:sz w:val="24"/>
          <w:szCs w:val="24"/>
        </w:rPr>
        <w:t>§ 2º Par</w:t>
      </w:r>
      <w:r w:rsidR="003E5D27">
        <w:rPr>
          <w:sz w:val="24"/>
          <w:szCs w:val="24"/>
        </w:rPr>
        <w:t>a fins do disposto no inciso IV</w:t>
      </w:r>
      <w:r w:rsidRPr="00B30208">
        <w:rPr>
          <w:color w:val="00B050"/>
          <w:sz w:val="24"/>
          <w:szCs w:val="24"/>
        </w:rPr>
        <w:t xml:space="preserve"> </w:t>
      </w:r>
      <w:r w:rsidRPr="00B30208">
        <w:rPr>
          <w:sz w:val="24"/>
          <w:szCs w:val="24"/>
        </w:rPr>
        <w:t xml:space="preserve">do § 1º, entende-se por: </w:t>
      </w:r>
    </w:p>
    <w:p w:rsidR="00233D16" w:rsidRPr="00B30208" w:rsidRDefault="00233D16" w:rsidP="00233D16">
      <w:pPr>
        <w:spacing w:after="240" w:line="360" w:lineRule="auto"/>
        <w:ind w:firstLine="1701"/>
        <w:jc w:val="both"/>
      </w:pPr>
      <w:r w:rsidRPr="00B30208">
        <w:rPr>
          <w:sz w:val="24"/>
          <w:szCs w:val="24"/>
        </w:rPr>
        <w:t xml:space="preserve">I - </w:t>
      </w:r>
      <w:proofErr w:type="gramStart"/>
      <w:r w:rsidRPr="00B30208">
        <w:rPr>
          <w:sz w:val="24"/>
          <w:szCs w:val="24"/>
        </w:rPr>
        <w:t>imóvel</w:t>
      </w:r>
      <w:proofErr w:type="gramEnd"/>
      <w:r w:rsidRPr="00B30208">
        <w:rPr>
          <w:sz w:val="24"/>
          <w:szCs w:val="24"/>
        </w:rPr>
        <w:t xml:space="preserve"> em situação de abandono - aquele que demonstre flagrante ausência prolongada de utilização verificada por suas características físicas, por sinais de inexistência de conservação, pelo relato de moradores da área ou por outros indícios que evidenciem a sua não utilização; </w:t>
      </w:r>
    </w:p>
    <w:p w:rsidR="00233D16" w:rsidRPr="00B30208" w:rsidRDefault="00233D16" w:rsidP="00233D16">
      <w:pPr>
        <w:spacing w:after="240" w:line="360" w:lineRule="auto"/>
        <w:ind w:firstLine="1701"/>
        <w:jc w:val="both"/>
      </w:pPr>
      <w:r w:rsidRPr="00B30208">
        <w:rPr>
          <w:sz w:val="24"/>
          <w:szCs w:val="24"/>
        </w:rPr>
        <w:t xml:space="preserve">II - </w:t>
      </w:r>
      <w:proofErr w:type="gramStart"/>
      <w:r w:rsidRPr="00B30208">
        <w:rPr>
          <w:sz w:val="24"/>
          <w:szCs w:val="24"/>
        </w:rPr>
        <w:t>ausência</w:t>
      </w:r>
      <w:proofErr w:type="gramEnd"/>
      <w:r w:rsidRPr="00B30208">
        <w:rPr>
          <w:sz w:val="24"/>
          <w:szCs w:val="24"/>
        </w:rPr>
        <w:t xml:space="preserve"> - a impossibilidade de localização de pessoa que possa permitir o acesso ao imóvel na hipótese de duas visitas devidamente comunicadas, em dias e períodos alternados, dentro do intervalo de dez dias; </w:t>
      </w:r>
    </w:p>
    <w:p w:rsidR="00233D16" w:rsidRPr="00B30208" w:rsidRDefault="00233D16" w:rsidP="00233D16">
      <w:pPr>
        <w:spacing w:after="240" w:line="360" w:lineRule="auto"/>
        <w:ind w:firstLine="1701"/>
        <w:jc w:val="both"/>
      </w:pPr>
      <w:r w:rsidRPr="00B30208">
        <w:rPr>
          <w:sz w:val="24"/>
          <w:szCs w:val="24"/>
        </w:rPr>
        <w:t>III – recusa – negativa ou impedimento de acesso do agente público ao imóvel.</w:t>
      </w:r>
    </w:p>
    <w:p w:rsidR="00233D16" w:rsidRPr="00B30208" w:rsidRDefault="00233D16" w:rsidP="00233D16">
      <w:pPr>
        <w:spacing w:after="240" w:line="360" w:lineRule="auto"/>
        <w:ind w:firstLine="1701"/>
        <w:jc w:val="both"/>
      </w:pPr>
      <w:r w:rsidRPr="00B30208">
        <w:rPr>
          <w:sz w:val="24"/>
          <w:szCs w:val="24"/>
        </w:rPr>
        <w:t xml:space="preserve">§ 3º São ainda medidas fundamentais para a contenção das doenças causadas pelos vírus de que trata o caput: </w:t>
      </w:r>
    </w:p>
    <w:p w:rsidR="00233D16" w:rsidRPr="00B30208" w:rsidRDefault="00233D16" w:rsidP="00233D16">
      <w:pPr>
        <w:spacing w:after="240" w:line="360" w:lineRule="auto"/>
        <w:ind w:firstLine="1701"/>
        <w:jc w:val="both"/>
      </w:pPr>
      <w:r w:rsidRPr="00B30208">
        <w:rPr>
          <w:color w:val="auto"/>
          <w:sz w:val="24"/>
          <w:szCs w:val="24"/>
        </w:rPr>
        <w:t xml:space="preserve">I </w:t>
      </w:r>
      <w:r w:rsidR="007F6AB5" w:rsidRPr="00B30208">
        <w:rPr>
          <w:color w:val="auto"/>
          <w:sz w:val="24"/>
          <w:szCs w:val="24"/>
        </w:rPr>
        <w:t>–</w:t>
      </w:r>
      <w:r w:rsidRPr="00B30208">
        <w:rPr>
          <w:color w:val="auto"/>
          <w:sz w:val="24"/>
          <w:szCs w:val="24"/>
        </w:rPr>
        <w:t xml:space="preserve"> </w:t>
      </w:r>
      <w:proofErr w:type="gramStart"/>
      <w:r w:rsidR="007F6AB5" w:rsidRPr="00B30208">
        <w:rPr>
          <w:color w:val="auto"/>
          <w:sz w:val="24"/>
          <w:szCs w:val="24"/>
        </w:rPr>
        <w:t>obediência</w:t>
      </w:r>
      <w:proofErr w:type="gramEnd"/>
      <w:r w:rsidR="007F6AB5" w:rsidRPr="00B30208">
        <w:rPr>
          <w:color w:val="auto"/>
          <w:sz w:val="24"/>
          <w:szCs w:val="24"/>
        </w:rPr>
        <w:t xml:space="preserve"> aos </w:t>
      </w:r>
      <w:r w:rsidR="001412FB" w:rsidRPr="00B30208">
        <w:rPr>
          <w:color w:val="auto"/>
          <w:sz w:val="24"/>
          <w:szCs w:val="24"/>
        </w:rPr>
        <w:t>critérios</w:t>
      </w:r>
      <w:r w:rsidR="007F6AB5" w:rsidRPr="00B30208">
        <w:rPr>
          <w:color w:val="auto"/>
          <w:sz w:val="24"/>
          <w:szCs w:val="24"/>
        </w:rPr>
        <w:t xml:space="preserve"> de diagnóstico estabelecidos pelas normas </w:t>
      </w:r>
      <w:r w:rsidR="009468E1" w:rsidRPr="00B30208">
        <w:rPr>
          <w:color w:val="auto"/>
          <w:sz w:val="24"/>
          <w:szCs w:val="24"/>
        </w:rPr>
        <w:t xml:space="preserve">técnicas </w:t>
      </w:r>
      <w:r w:rsidR="007F6AB5" w:rsidRPr="00B30208">
        <w:rPr>
          <w:color w:val="auto"/>
          <w:sz w:val="24"/>
          <w:szCs w:val="24"/>
        </w:rPr>
        <w:t xml:space="preserve">vigentes, </w:t>
      </w:r>
      <w:r w:rsidRPr="00B30208">
        <w:rPr>
          <w:sz w:val="24"/>
          <w:szCs w:val="24"/>
        </w:rPr>
        <w:t>aperfeiçoamento dos sistemas de informação, notificação, investigação e divulgação de dados e indicadores;</w:t>
      </w:r>
    </w:p>
    <w:p w:rsidR="00233D16" w:rsidRPr="00B30208" w:rsidRDefault="00233D16" w:rsidP="00233D16">
      <w:pPr>
        <w:spacing w:after="240" w:line="360" w:lineRule="auto"/>
        <w:ind w:firstLine="1701"/>
        <w:jc w:val="both"/>
      </w:pPr>
      <w:r w:rsidRPr="00B30208">
        <w:rPr>
          <w:sz w:val="24"/>
          <w:szCs w:val="24"/>
        </w:rPr>
        <w:t xml:space="preserve">II – </w:t>
      </w:r>
      <w:proofErr w:type="gramStart"/>
      <w:r w:rsidRPr="00B30208">
        <w:rPr>
          <w:sz w:val="24"/>
          <w:szCs w:val="24"/>
        </w:rPr>
        <w:t>universalização</w:t>
      </w:r>
      <w:proofErr w:type="gramEnd"/>
      <w:r w:rsidRPr="00B30208">
        <w:rPr>
          <w:sz w:val="24"/>
          <w:szCs w:val="24"/>
        </w:rPr>
        <w:t xml:space="preserve"> do acesso à água potável e esgotamento sanitário; </w:t>
      </w:r>
    </w:p>
    <w:p w:rsidR="00304A5A" w:rsidRPr="00B30208" w:rsidRDefault="00233D16" w:rsidP="00233D16">
      <w:pPr>
        <w:spacing w:after="240" w:line="360" w:lineRule="auto"/>
        <w:ind w:firstLine="1701"/>
        <w:jc w:val="both"/>
        <w:rPr>
          <w:sz w:val="24"/>
          <w:szCs w:val="24"/>
        </w:rPr>
      </w:pPr>
      <w:r w:rsidRPr="00B30208">
        <w:rPr>
          <w:sz w:val="24"/>
          <w:szCs w:val="24"/>
        </w:rPr>
        <w:t>III - incentivo ao desenvolvimento de pesquisas científicas e à incorporação de novas tecnologias de vigilância em saúde</w:t>
      </w:r>
      <w:r w:rsidR="00304A5A" w:rsidRPr="00B30208">
        <w:rPr>
          <w:sz w:val="24"/>
          <w:szCs w:val="24"/>
        </w:rPr>
        <w:t>;</w:t>
      </w:r>
    </w:p>
    <w:p w:rsidR="00233D16" w:rsidRPr="00B30208" w:rsidRDefault="00304A5A" w:rsidP="00233D16">
      <w:pPr>
        <w:spacing w:after="240" w:line="360" w:lineRule="auto"/>
        <w:ind w:firstLine="1701"/>
        <w:jc w:val="both"/>
        <w:rPr>
          <w:color w:val="auto"/>
        </w:rPr>
      </w:pPr>
      <w:r w:rsidRPr="00B30208">
        <w:rPr>
          <w:color w:val="auto"/>
          <w:sz w:val="24"/>
          <w:szCs w:val="24"/>
        </w:rPr>
        <w:t xml:space="preserve">IV – </w:t>
      </w:r>
      <w:proofErr w:type="gramStart"/>
      <w:r w:rsidRPr="00B30208">
        <w:rPr>
          <w:color w:val="auto"/>
          <w:sz w:val="24"/>
          <w:szCs w:val="24"/>
        </w:rPr>
        <w:t>permitir</w:t>
      </w:r>
      <w:proofErr w:type="gramEnd"/>
      <w:r w:rsidRPr="00B30208">
        <w:rPr>
          <w:color w:val="auto"/>
          <w:sz w:val="24"/>
          <w:szCs w:val="24"/>
        </w:rPr>
        <w:t xml:space="preserve"> a incorporação de mecanismos de controle vetorial </w:t>
      </w:r>
      <w:r w:rsidRPr="00B30208">
        <w:rPr>
          <w:color w:val="auto"/>
          <w:sz w:val="24"/>
          <w:szCs w:val="24"/>
        </w:rPr>
        <w:lastRenderedPageBreak/>
        <w:t>por meio de dispersão por aeronaves mediante aprovação das autoridades sanitárias e da comprovação científica da eficácia da medida</w:t>
      </w:r>
      <w:r w:rsidR="00233D16" w:rsidRPr="00B30208">
        <w:rPr>
          <w:color w:val="auto"/>
          <w:sz w:val="24"/>
          <w:szCs w:val="24"/>
        </w:rPr>
        <w:t>.</w:t>
      </w:r>
    </w:p>
    <w:p w:rsidR="00233D16" w:rsidRPr="00B30208" w:rsidRDefault="00233D16" w:rsidP="00233D16">
      <w:pPr>
        <w:spacing w:after="240" w:line="360" w:lineRule="auto"/>
        <w:ind w:firstLine="1701"/>
        <w:jc w:val="both"/>
      </w:pPr>
      <w:r w:rsidRPr="00B30208">
        <w:rPr>
          <w:sz w:val="24"/>
          <w:szCs w:val="24"/>
        </w:rPr>
        <w:t>Art. 2º. O</w:t>
      </w:r>
      <w:r w:rsidRPr="00B30208">
        <w:rPr>
          <w:color w:val="FF0000"/>
          <w:sz w:val="24"/>
          <w:szCs w:val="24"/>
        </w:rPr>
        <w:t xml:space="preserve"> </w:t>
      </w:r>
      <w:r w:rsidRPr="00B30208">
        <w:rPr>
          <w:sz w:val="24"/>
          <w:szCs w:val="24"/>
        </w:rPr>
        <w:t xml:space="preserve">ingresso forçado será realizado buscando a preservação da integridade do imóvel e das condições de segurança em que foi encontrado. </w:t>
      </w:r>
    </w:p>
    <w:p w:rsidR="00233D16" w:rsidRPr="00B30208" w:rsidRDefault="00233D16" w:rsidP="00233D16">
      <w:pPr>
        <w:spacing w:after="240" w:line="360" w:lineRule="auto"/>
        <w:ind w:firstLine="1701"/>
        <w:jc w:val="both"/>
      </w:pPr>
      <w:r w:rsidRPr="00B30208">
        <w:rPr>
          <w:sz w:val="24"/>
          <w:szCs w:val="24"/>
        </w:rPr>
        <w:t xml:space="preserve">Art. 3º. Nos casos de ingresso forçado em imóveis públicos e particulares, o agente público competente emitirá relatório circunstanciado no local. </w:t>
      </w:r>
    </w:p>
    <w:p w:rsidR="00233D16" w:rsidRPr="00B30208" w:rsidRDefault="00233D16" w:rsidP="00233D16">
      <w:pPr>
        <w:spacing w:after="240" w:line="360" w:lineRule="auto"/>
        <w:ind w:firstLine="1701"/>
        <w:jc w:val="both"/>
      </w:pPr>
      <w:r w:rsidRPr="00B30208">
        <w:rPr>
          <w:sz w:val="24"/>
          <w:szCs w:val="24"/>
        </w:rPr>
        <w:t xml:space="preserve">§ 1º Sempre que se mostrar necessário, o agente público competente poderá requerer auxílio à autoridade policial ou à Guarda Municipal. </w:t>
      </w:r>
    </w:p>
    <w:p w:rsidR="00233D16" w:rsidRPr="00B30208" w:rsidRDefault="00233D16" w:rsidP="00233D16">
      <w:pPr>
        <w:spacing w:after="240" w:line="360" w:lineRule="auto"/>
        <w:ind w:firstLine="1701"/>
        <w:jc w:val="both"/>
      </w:pPr>
      <w:r w:rsidRPr="00B30208">
        <w:rPr>
          <w:sz w:val="24"/>
          <w:szCs w:val="24"/>
        </w:rPr>
        <w:t>§ 2º Constarão do relatório circunstanciado:</w:t>
      </w:r>
    </w:p>
    <w:p w:rsidR="00233D16" w:rsidRPr="00B30208" w:rsidRDefault="00233D16" w:rsidP="00233D16">
      <w:pPr>
        <w:spacing w:after="240" w:line="360" w:lineRule="auto"/>
        <w:ind w:firstLine="1701"/>
        <w:jc w:val="both"/>
      </w:pPr>
      <w:r w:rsidRPr="00B30208">
        <w:rPr>
          <w:sz w:val="24"/>
          <w:szCs w:val="24"/>
        </w:rPr>
        <w:t xml:space="preserve">I - </w:t>
      </w:r>
      <w:proofErr w:type="gramStart"/>
      <w:r w:rsidRPr="00B30208">
        <w:rPr>
          <w:sz w:val="24"/>
          <w:szCs w:val="24"/>
        </w:rPr>
        <w:t>as</w:t>
      </w:r>
      <w:proofErr w:type="gramEnd"/>
      <w:r w:rsidRPr="00B30208">
        <w:rPr>
          <w:sz w:val="24"/>
          <w:szCs w:val="24"/>
        </w:rPr>
        <w:t xml:space="preserve"> condições em que foi encontrado o imóvel; </w:t>
      </w:r>
    </w:p>
    <w:p w:rsidR="00233D16" w:rsidRPr="00B30208" w:rsidRDefault="00233D16" w:rsidP="00233D16">
      <w:pPr>
        <w:spacing w:after="240" w:line="360" w:lineRule="auto"/>
        <w:ind w:firstLine="1701"/>
        <w:jc w:val="both"/>
      </w:pPr>
      <w:r w:rsidRPr="00B30208">
        <w:rPr>
          <w:sz w:val="24"/>
          <w:szCs w:val="24"/>
        </w:rPr>
        <w:t xml:space="preserve">II - </w:t>
      </w:r>
      <w:proofErr w:type="gramStart"/>
      <w:r w:rsidRPr="00B30208">
        <w:rPr>
          <w:sz w:val="24"/>
          <w:szCs w:val="24"/>
        </w:rPr>
        <w:t>medidas</w:t>
      </w:r>
      <w:proofErr w:type="gramEnd"/>
      <w:r w:rsidRPr="00B30208">
        <w:rPr>
          <w:sz w:val="24"/>
          <w:szCs w:val="24"/>
        </w:rPr>
        <w:t xml:space="preserve"> sanitárias adotadas para o controle do vetor e da eliminação de criadouros do mosquito transmissor do Vírus da Dengue, do Vírus Chikungunya e do Zika Vírus; </w:t>
      </w:r>
    </w:p>
    <w:p w:rsidR="00233D16" w:rsidRPr="00B30208" w:rsidRDefault="00233D16" w:rsidP="00233D16">
      <w:pPr>
        <w:spacing w:after="240" w:line="360" w:lineRule="auto"/>
        <w:ind w:firstLine="1701"/>
        <w:jc w:val="both"/>
      </w:pPr>
      <w:r w:rsidRPr="00B30208">
        <w:rPr>
          <w:sz w:val="24"/>
          <w:szCs w:val="24"/>
        </w:rPr>
        <w:t xml:space="preserve">III - recomendações a serem observadas pelo responsável; e </w:t>
      </w:r>
    </w:p>
    <w:p w:rsidR="00233D16" w:rsidRPr="00B30208" w:rsidRDefault="00233D16" w:rsidP="00233D16">
      <w:pPr>
        <w:spacing w:after="240" w:line="360" w:lineRule="auto"/>
        <w:ind w:firstLine="1701"/>
        <w:jc w:val="both"/>
      </w:pPr>
      <w:r w:rsidRPr="00B30208">
        <w:rPr>
          <w:sz w:val="24"/>
          <w:szCs w:val="24"/>
        </w:rPr>
        <w:t xml:space="preserve">IV - </w:t>
      </w:r>
      <w:proofErr w:type="gramStart"/>
      <w:r w:rsidRPr="00B30208">
        <w:rPr>
          <w:sz w:val="24"/>
          <w:szCs w:val="24"/>
        </w:rPr>
        <w:t>medidas</w:t>
      </w:r>
      <w:proofErr w:type="gramEnd"/>
      <w:r w:rsidRPr="00B30208">
        <w:rPr>
          <w:sz w:val="24"/>
          <w:szCs w:val="24"/>
        </w:rPr>
        <w:t xml:space="preserve"> adotadas para restabelecer a segurança do imóvel. </w:t>
      </w:r>
    </w:p>
    <w:p w:rsidR="00233D16" w:rsidRPr="00B30208" w:rsidRDefault="00233D16" w:rsidP="00233D16">
      <w:pPr>
        <w:spacing w:after="240" w:line="360" w:lineRule="auto"/>
        <w:ind w:firstLine="1701"/>
        <w:jc w:val="both"/>
      </w:pPr>
      <w:r w:rsidRPr="00B30208">
        <w:rPr>
          <w:sz w:val="24"/>
          <w:szCs w:val="24"/>
        </w:rPr>
        <w:t>Art. 4º.</w:t>
      </w:r>
      <w:r w:rsidR="000A2EDC">
        <w:rPr>
          <w:sz w:val="24"/>
          <w:szCs w:val="24"/>
        </w:rPr>
        <w:t xml:space="preserve"> A medida prevista no inciso IV</w:t>
      </w:r>
      <w:bookmarkStart w:id="0" w:name="_GoBack"/>
      <w:bookmarkEnd w:id="0"/>
      <w:r w:rsidRPr="00B30208">
        <w:rPr>
          <w:color w:val="00B050"/>
          <w:sz w:val="24"/>
          <w:szCs w:val="24"/>
        </w:rPr>
        <w:t xml:space="preserve"> </w:t>
      </w:r>
      <w:r w:rsidRPr="00B30208">
        <w:rPr>
          <w:sz w:val="24"/>
          <w:szCs w:val="24"/>
        </w:rPr>
        <w:t xml:space="preserve">do § 1º do art. 1º aplica-se sempre que se verificar a existência de outras doenças com potencial de proliferação ou de disseminação ou agravos que representem grave risco ou ameaça à saúde pública, condicionada à Declaração de Emergência em Saúde Pública. </w:t>
      </w:r>
    </w:p>
    <w:p w:rsidR="00233D16" w:rsidRPr="00B30208" w:rsidRDefault="00233D16" w:rsidP="00233D16">
      <w:pPr>
        <w:spacing w:after="240" w:line="360" w:lineRule="auto"/>
        <w:ind w:firstLine="1701"/>
        <w:jc w:val="both"/>
      </w:pPr>
      <w:r w:rsidRPr="00B30208">
        <w:rPr>
          <w:sz w:val="24"/>
          <w:szCs w:val="24"/>
        </w:rPr>
        <w:t>Art. 5º. O art. 10 da Lei 6.437, de 20 de agosto de 1977 passa a vigorar acrescido do seguinte inciso:</w:t>
      </w:r>
    </w:p>
    <w:p w:rsidR="00233D16" w:rsidRPr="00B30208" w:rsidRDefault="00233D16" w:rsidP="00233D16">
      <w:pPr>
        <w:spacing w:after="240" w:line="360" w:lineRule="auto"/>
        <w:ind w:firstLine="1701"/>
        <w:jc w:val="both"/>
      </w:pPr>
      <w:r w:rsidRPr="00B30208">
        <w:rPr>
          <w:sz w:val="20"/>
        </w:rPr>
        <w:t> </w:t>
      </w:r>
      <w:r w:rsidRPr="00B30208">
        <w:rPr>
          <w:sz w:val="24"/>
          <w:szCs w:val="24"/>
        </w:rPr>
        <w:t>“XLII – reincidir na manutenção de focos de vetores no imóvel por descumprimento de recomendação das autoridades sanitárias;</w:t>
      </w:r>
    </w:p>
    <w:p w:rsidR="00233D16" w:rsidRPr="00B30208" w:rsidRDefault="00233D16" w:rsidP="00233D16">
      <w:pPr>
        <w:spacing w:after="240" w:line="360" w:lineRule="auto"/>
        <w:ind w:firstLine="1701"/>
        <w:jc w:val="both"/>
        <w:rPr>
          <w:color w:val="auto"/>
        </w:rPr>
      </w:pPr>
      <w:r w:rsidRPr="00B30208">
        <w:rPr>
          <w:sz w:val="24"/>
          <w:szCs w:val="24"/>
        </w:rPr>
        <w:lastRenderedPageBreak/>
        <w:t>Pena – multa de 10% dos valores previstos no art. 2º, § 1º, I</w:t>
      </w:r>
      <w:r w:rsidR="00A20B8E" w:rsidRPr="00B30208">
        <w:rPr>
          <w:sz w:val="24"/>
          <w:szCs w:val="24"/>
        </w:rPr>
        <w:t xml:space="preserve">, </w:t>
      </w:r>
      <w:r w:rsidR="00A20B8E" w:rsidRPr="00B30208">
        <w:rPr>
          <w:color w:val="auto"/>
          <w:sz w:val="24"/>
          <w:szCs w:val="24"/>
        </w:rPr>
        <w:t xml:space="preserve">dobrados em caso de nova </w:t>
      </w:r>
      <w:proofErr w:type="gramStart"/>
      <w:r w:rsidR="00A20B8E" w:rsidRPr="00B30208">
        <w:rPr>
          <w:color w:val="auto"/>
          <w:sz w:val="24"/>
          <w:szCs w:val="24"/>
        </w:rPr>
        <w:t>reincidência</w:t>
      </w:r>
      <w:r w:rsidRPr="00B30208">
        <w:rPr>
          <w:color w:val="FF0000"/>
          <w:sz w:val="24"/>
          <w:szCs w:val="24"/>
        </w:rPr>
        <w:t>.”</w:t>
      </w:r>
      <w:proofErr w:type="gramEnd"/>
      <w:r w:rsidRPr="00B30208">
        <w:rPr>
          <w:sz w:val="24"/>
          <w:szCs w:val="24"/>
        </w:rPr>
        <w:t>(NR)</w:t>
      </w:r>
    </w:p>
    <w:p w:rsidR="00233D16" w:rsidRPr="00B30208" w:rsidRDefault="00233D16" w:rsidP="00233D16">
      <w:pPr>
        <w:ind w:firstLine="2302"/>
        <w:jc w:val="both"/>
        <w:rPr>
          <w:color w:val="auto"/>
        </w:rPr>
      </w:pPr>
      <w:r w:rsidRPr="00B30208">
        <w:rPr>
          <w:color w:val="auto"/>
          <w:sz w:val="24"/>
          <w:szCs w:val="24"/>
        </w:rPr>
        <w:t>Art. 6º. Fica isenta do pagamento de Imposto sobre a Importação e Imposto sobre Produtos Industrializados a operação que envolva:</w:t>
      </w:r>
    </w:p>
    <w:p w:rsidR="00233D16" w:rsidRPr="00B30208" w:rsidRDefault="00233D16" w:rsidP="00233D16">
      <w:pPr>
        <w:ind w:firstLine="2302"/>
        <w:jc w:val="both"/>
        <w:rPr>
          <w:color w:val="auto"/>
        </w:rPr>
      </w:pPr>
      <w:r w:rsidRPr="00B30208">
        <w:rPr>
          <w:color w:val="auto"/>
          <w:sz w:val="24"/>
          <w:szCs w:val="24"/>
        </w:rPr>
        <w:t xml:space="preserve">I - </w:t>
      </w:r>
      <w:proofErr w:type="gramStart"/>
      <w:r w:rsidRPr="00B30208">
        <w:rPr>
          <w:color w:val="auto"/>
          <w:sz w:val="24"/>
          <w:szCs w:val="24"/>
        </w:rPr>
        <w:t>repelentes</w:t>
      </w:r>
      <w:proofErr w:type="gramEnd"/>
      <w:r w:rsidRPr="00B30208">
        <w:rPr>
          <w:color w:val="auto"/>
          <w:sz w:val="24"/>
          <w:szCs w:val="24"/>
        </w:rPr>
        <w:t xml:space="preserve"> de insetos para aplicação tópica, na forma de uma preparação em gel, à base de </w:t>
      </w:r>
      <w:proofErr w:type="spellStart"/>
      <w:r w:rsidRPr="00B30208">
        <w:rPr>
          <w:color w:val="auto"/>
          <w:sz w:val="24"/>
          <w:szCs w:val="24"/>
        </w:rPr>
        <w:t>icaridina</w:t>
      </w:r>
      <w:proofErr w:type="spellEnd"/>
      <w:r w:rsidRPr="00B30208">
        <w:rPr>
          <w:color w:val="auto"/>
          <w:sz w:val="24"/>
          <w:szCs w:val="24"/>
        </w:rPr>
        <w:t>, DEET e IR3535</w:t>
      </w:r>
      <w:r w:rsidR="00645A39" w:rsidRPr="00B30208">
        <w:rPr>
          <w:color w:val="auto"/>
          <w:sz w:val="24"/>
          <w:szCs w:val="24"/>
        </w:rPr>
        <w:t>,</w:t>
      </w:r>
      <w:r w:rsidRPr="00B30208">
        <w:rPr>
          <w:color w:val="auto"/>
          <w:sz w:val="24"/>
          <w:szCs w:val="24"/>
        </w:rPr>
        <w:t xml:space="preserve"> e s</w:t>
      </w:r>
      <w:r w:rsidR="00645A39" w:rsidRPr="00B30208">
        <w:rPr>
          <w:color w:val="auto"/>
          <w:sz w:val="24"/>
          <w:szCs w:val="24"/>
        </w:rPr>
        <w:t>uas matérias primas, classificados</w:t>
      </w:r>
      <w:r w:rsidRPr="00B30208">
        <w:rPr>
          <w:color w:val="auto"/>
          <w:sz w:val="24"/>
          <w:szCs w:val="24"/>
        </w:rPr>
        <w:t xml:space="preserve"> no código 3808.91.99 da Tipi;</w:t>
      </w:r>
    </w:p>
    <w:p w:rsidR="00233D16" w:rsidRPr="00B30208" w:rsidRDefault="00233D16" w:rsidP="00233D16">
      <w:pPr>
        <w:ind w:firstLine="2302"/>
        <w:jc w:val="both"/>
        <w:rPr>
          <w:color w:val="auto"/>
        </w:rPr>
      </w:pPr>
      <w:r w:rsidRPr="00B30208">
        <w:rPr>
          <w:color w:val="auto"/>
          <w:sz w:val="24"/>
          <w:szCs w:val="24"/>
        </w:rPr>
        <w:t xml:space="preserve">II – </w:t>
      </w:r>
      <w:proofErr w:type="gramStart"/>
      <w:r w:rsidRPr="00B30208">
        <w:rPr>
          <w:color w:val="auto"/>
          <w:sz w:val="24"/>
          <w:szCs w:val="24"/>
        </w:rPr>
        <w:t>inseticidas</w:t>
      </w:r>
      <w:proofErr w:type="gramEnd"/>
      <w:r w:rsidRPr="00B30208">
        <w:rPr>
          <w:color w:val="auto"/>
          <w:sz w:val="24"/>
          <w:szCs w:val="24"/>
        </w:rPr>
        <w:t xml:space="preserve"> e </w:t>
      </w:r>
      <w:proofErr w:type="spellStart"/>
      <w:r w:rsidRPr="00B30208">
        <w:rPr>
          <w:color w:val="auto"/>
          <w:sz w:val="24"/>
          <w:szCs w:val="24"/>
        </w:rPr>
        <w:t>larvicidas</w:t>
      </w:r>
      <w:proofErr w:type="spellEnd"/>
      <w:r w:rsidRPr="00B30208">
        <w:rPr>
          <w:color w:val="auto"/>
          <w:sz w:val="24"/>
          <w:szCs w:val="24"/>
        </w:rPr>
        <w:t xml:space="preserve"> com aplicação no combate ao mosquito Aedes aegypti, classificados no código 3808.91 da Tipi;</w:t>
      </w:r>
    </w:p>
    <w:p w:rsidR="00233D16" w:rsidRPr="00B30208" w:rsidRDefault="00233D16" w:rsidP="00233D16">
      <w:pPr>
        <w:ind w:firstLine="2302"/>
        <w:jc w:val="both"/>
        <w:rPr>
          <w:color w:val="auto"/>
          <w:sz w:val="24"/>
          <w:szCs w:val="24"/>
        </w:rPr>
      </w:pPr>
      <w:r w:rsidRPr="00B30208">
        <w:rPr>
          <w:color w:val="auto"/>
          <w:sz w:val="24"/>
          <w:szCs w:val="24"/>
        </w:rPr>
        <w:t>III – telas mosquiteiro de qualquer espécie, classificadas nos códigos 7019.52.90 e 7019.59.00 da Tipi.</w:t>
      </w:r>
    </w:p>
    <w:p w:rsidR="00233D16" w:rsidRPr="00B30208" w:rsidRDefault="00233D16" w:rsidP="00233D16">
      <w:pPr>
        <w:ind w:firstLine="2302"/>
        <w:jc w:val="both"/>
        <w:rPr>
          <w:color w:val="auto"/>
        </w:rPr>
      </w:pPr>
    </w:p>
    <w:p w:rsidR="00233D16" w:rsidRPr="00B30208" w:rsidRDefault="00233D16" w:rsidP="00233D16">
      <w:pPr>
        <w:ind w:firstLine="2302"/>
        <w:jc w:val="both"/>
        <w:rPr>
          <w:color w:val="auto"/>
          <w:sz w:val="24"/>
          <w:szCs w:val="24"/>
        </w:rPr>
      </w:pPr>
      <w:r w:rsidRPr="00B30208">
        <w:rPr>
          <w:color w:val="auto"/>
          <w:sz w:val="24"/>
          <w:szCs w:val="24"/>
        </w:rPr>
        <w:t>Art. 7º Fica instituído o Programa Nacional de Apoio ao Combate às Doenças Transmitidas pelo Aedes – PRONAEDES, tendo como objetivo o financiamento de projetos de combate à proliferação do mosquito transmissor do Vírus da Dengue, do Vírus Chikungunya e do Zika Vírus.</w:t>
      </w:r>
    </w:p>
    <w:p w:rsidR="00233D16" w:rsidRPr="00B30208" w:rsidRDefault="00233D16" w:rsidP="00233D16">
      <w:pPr>
        <w:ind w:firstLine="2302"/>
        <w:jc w:val="both"/>
        <w:rPr>
          <w:color w:val="auto"/>
          <w:sz w:val="24"/>
          <w:szCs w:val="24"/>
        </w:rPr>
      </w:pPr>
    </w:p>
    <w:p w:rsidR="002A56AB" w:rsidRPr="00B30208" w:rsidRDefault="002A56AB" w:rsidP="002A56AB">
      <w:pPr>
        <w:ind w:firstLine="2302"/>
        <w:jc w:val="both"/>
        <w:rPr>
          <w:color w:val="auto"/>
          <w:sz w:val="24"/>
          <w:szCs w:val="24"/>
        </w:rPr>
      </w:pPr>
      <w:r w:rsidRPr="00B30208">
        <w:rPr>
          <w:color w:val="auto"/>
          <w:sz w:val="24"/>
          <w:szCs w:val="24"/>
        </w:rPr>
        <w:t xml:space="preserve">Art. 8º O PRONAEDES será implementado mediante incentivo fiscal a ações e serviços de vigilância em saúde promovidas pelos </w:t>
      </w:r>
      <w:r w:rsidR="0086550C" w:rsidRPr="00B30208">
        <w:rPr>
          <w:color w:val="auto"/>
          <w:sz w:val="24"/>
          <w:szCs w:val="24"/>
        </w:rPr>
        <w:t xml:space="preserve">Estados e </w:t>
      </w:r>
      <w:r w:rsidRPr="00B30208">
        <w:rPr>
          <w:color w:val="auto"/>
          <w:sz w:val="24"/>
          <w:szCs w:val="24"/>
        </w:rPr>
        <w:t>Municípios, isoladamente ou em conjunto, nas seguintes áreas:</w:t>
      </w:r>
    </w:p>
    <w:p w:rsidR="002A56AB" w:rsidRPr="00B30208" w:rsidRDefault="002A56AB" w:rsidP="002A56AB">
      <w:pPr>
        <w:ind w:firstLine="2302"/>
        <w:jc w:val="both"/>
        <w:rPr>
          <w:color w:val="auto"/>
          <w:sz w:val="24"/>
          <w:szCs w:val="24"/>
        </w:rPr>
      </w:pPr>
      <w:r w:rsidRPr="00B30208">
        <w:rPr>
          <w:color w:val="auto"/>
          <w:sz w:val="24"/>
          <w:szCs w:val="24"/>
        </w:rPr>
        <w:t xml:space="preserve">I – </w:t>
      </w:r>
      <w:proofErr w:type="gramStart"/>
      <w:r w:rsidRPr="00B30208">
        <w:rPr>
          <w:color w:val="auto"/>
          <w:sz w:val="24"/>
          <w:szCs w:val="24"/>
        </w:rPr>
        <w:t>aquisição</w:t>
      </w:r>
      <w:proofErr w:type="gramEnd"/>
      <w:r w:rsidRPr="00B30208">
        <w:rPr>
          <w:color w:val="auto"/>
          <w:sz w:val="24"/>
          <w:szCs w:val="24"/>
        </w:rPr>
        <w:t xml:space="preserve"> de infraestrutura e insumos para vigilância em saúde e controle de vetor;</w:t>
      </w:r>
    </w:p>
    <w:p w:rsidR="002A56AB" w:rsidRPr="00B30208" w:rsidRDefault="002A56AB" w:rsidP="002A56AB">
      <w:pPr>
        <w:ind w:firstLine="2302"/>
        <w:jc w:val="both"/>
        <w:rPr>
          <w:color w:val="auto"/>
          <w:sz w:val="24"/>
          <w:szCs w:val="24"/>
        </w:rPr>
      </w:pPr>
      <w:r w:rsidRPr="00B30208">
        <w:rPr>
          <w:color w:val="auto"/>
          <w:sz w:val="24"/>
          <w:szCs w:val="24"/>
        </w:rPr>
        <w:t xml:space="preserve">II – </w:t>
      </w:r>
      <w:proofErr w:type="gramStart"/>
      <w:r w:rsidRPr="00B30208">
        <w:rPr>
          <w:color w:val="auto"/>
          <w:sz w:val="24"/>
          <w:szCs w:val="24"/>
        </w:rPr>
        <w:t>custeio</w:t>
      </w:r>
      <w:proofErr w:type="gramEnd"/>
      <w:r w:rsidRPr="00B30208">
        <w:rPr>
          <w:color w:val="auto"/>
          <w:sz w:val="24"/>
          <w:szCs w:val="24"/>
        </w:rPr>
        <w:t xml:space="preserve"> de serviços de vigilância em saúde, inclusive remuneração da equipe de saúde;</w:t>
      </w:r>
    </w:p>
    <w:p w:rsidR="002A56AB" w:rsidRPr="00B30208" w:rsidRDefault="002A56AB" w:rsidP="002A56AB">
      <w:pPr>
        <w:ind w:firstLine="2302"/>
        <w:jc w:val="both"/>
        <w:rPr>
          <w:color w:val="auto"/>
          <w:sz w:val="24"/>
          <w:szCs w:val="24"/>
        </w:rPr>
      </w:pPr>
      <w:r w:rsidRPr="00B30208">
        <w:rPr>
          <w:color w:val="auto"/>
          <w:sz w:val="24"/>
          <w:szCs w:val="24"/>
        </w:rPr>
        <w:t>III – investimentos em saneamento básico em áreas de risco epidemiológico;</w:t>
      </w:r>
    </w:p>
    <w:p w:rsidR="002A56AB" w:rsidRPr="00B30208" w:rsidRDefault="002A56AB" w:rsidP="002A56AB">
      <w:pPr>
        <w:ind w:firstLine="2302"/>
        <w:jc w:val="both"/>
        <w:rPr>
          <w:color w:val="auto"/>
          <w:sz w:val="24"/>
          <w:szCs w:val="24"/>
        </w:rPr>
      </w:pPr>
      <w:r w:rsidRPr="00B30208">
        <w:rPr>
          <w:color w:val="auto"/>
          <w:sz w:val="24"/>
          <w:szCs w:val="24"/>
        </w:rPr>
        <w:t xml:space="preserve">IV – </w:t>
      </w:r>
      <w:proofErr w:type="gramStart"/>
      <w:r w:rsidRPr="00B30208">
        <w:rPr>
          <w:color w:val="auto"/>
          <w:sz w:val="24"/>
          <w:szCs w:val="24"/>
        </w:rPr>
        <w:t>aquisição</w:t>
      </w:r>
      <w:proofErr w:type="gramEnd"/>
      <w:r w:rsidRPr="00B30208">
        <w:rPr>
          <w:color w:val="auto"/>
          <w:sz w:val="24"/>
          <w:szCs w:val="24"/>
        </w:rPr>
        <w:t xml:space="preserve"> de vacinas específicas</w:t>
      </w:r>
      <w:r w:rsidR="0032459C" w:rsidRPr="00B30208">
        <w:rPr>
          <w:color w:val="auto"/>
          <w:sz w:val="24"/>
          <w:szCs w:val="24"/>
        </w:rPr>
        <w:t>, de notória eficácia, inseridas em calendário definido pelas autoridades sanitárias</w:t>
      </w:r>
      <w:r w:rsidRPr="00B30208">
        <w:rPr>
          <w:color w:val="FF0000"/>
          <w:sz w:val="24"/>
          <w:szCs w:val="24"/>
        </w:rPr>
        <w:t>;</w:t>
      </w:r>
    </w:p>
    <w:p w:rsidR="002A56AB" w:rsidRPr="00B30208" w:rsidRDefault="002A56AB" w:rsidP="002A56AB">
      <w:pPr>
        <w:ind w:firstLine="2302"/>
        <w:jc w:val="both"/>
        <w:rPr>
          <w:color w:val="auto"/>
          <w:sz w:val="24"/>
          <w:szCs w:val="24"/>
        </w:rPr>
      </w:pPr>
      <w:r w:rsidRPr="00B30208">
        <w:rPr>
          <w:color w:val="auto"/>
          <w:sz w:val="24"/>
          <w:szCs w:val="24"/>
        </w:rPr>
        <w:t xml:space="preserve">V – </w:t>
      </w:r>
      <w:proofErr w:type="gramStart"/>
      <w:r w:rsidRPr="00B30208">
        <w:rPr>
          <w:color w:val="auto"/>
          <w:sz w:val="24"/>
          <w:szCs w:val="24"/>
        </w:rPr>
        <w:t>campanhas</w:t>
      </w:r>
      <w:proofErr w:type="gramEnd"/>
      <w:r w:rsidRPr="00B30208">
        <w:rPr>
          <w:color w:val="auto"/>
          <w:sz w:val="24"/>
          <w:szCs w:val="24"/>
        </w:rPr>
        <w:t xml:space="preserve"> educativas localizadas de prevenção e de divulgação dos incentivos;</w:t>
      </w:r>
    </w:p>
    <w:p w:rsidR="002A56AB" w:rsidRPr="00B30208" w:rsidRDefault="002A56AB" w:rsidP="002A56AB">
      <w:pPr>
        <w:ind w:firstLine="2302"/>
        <w:jc w:val="both"/>
        <w:rPr>
          <w:color w:val="auto"/>
          <w:sz w:val="24"/>
          <w:szCs w:val="24"/>
        </w:rPr>
      </w:pPr>
      <w:r w:rsidRPr="00B30208">
        <w:rPr>
          <w:color w:val="auto"/>
          <w:sz w:val="24"/>
          <w:szCs w:val="24"/>
        </w:rPr>
        <w:t xml:space="preserve">VI – </w:t>
      </w:r>
      <w:proofErr w:type="gramStart"/>
      <w:r w:rsidRPr="00B30208">
        <w:rPr>
          <w:color w:val="auto"/>
          <w:sz w:val="24"/>
          <w:szCs w:val="24"/>
        </w:rPr>
        <w:t>aquisição</w:t>
      </w:r>
      <w:proofErr w:type="gramEnd"/>
      <w:r w:rsidRPr="00B30208">
        <w:rPr>
          <w:color w:val="auto"/>
          <w:sz w:val="24"/>
          <w:szCs w:val="24"/>
        </w:rPr>
        <w:t xml:space="preserve"> de insumos e infraestrutura para ações de diagnóstico;</w:t>
      </w:r>
    </w:p>
    <w:p w:rsidR="002A56AB" w:rsidRPr="00B30208" w:rsidRDefault="002A56AB" w:rsidP="002A56AB">
      <w:pPr>
        <w:ind w:firstLine="2302"/>
        <w:jc w:val="both"/>
        <w:rPr>
          <w:color w:val="auto"/>
          <w:sz w:val="24"/>
          <w:szCs w:val="24"/>
        </w:rPr>
      </w:pPr>
      <w:r w:rsidRPr="00B30208">
        <w:rPr>
          <w:color w:val="auto"/>
          <w:sz w:val="24"/>
          <w:szCs w:val="24"/>
        </w:rPr>
        <w:t>VII – ampliação e equipamento de Centros Especializados em Reabilitação e, em localidades em que estes sejam inexistentes, prestação de serviços análogos através de parcerias com instituições sem fins lucrativos mediante termo de cooperação e fomento;</w:t>
      </w:r>
    </w:p>
    <w:p w:rsidR="002A56AB" w:rsidRPr="00B30208" w:rsidRDefault="002A56AB" w:rsidP="002A56AB">
      <w:pPr>
        <w:ind w:firstLine="2302"/>
        <w:jc w:val="both"/>
        <w:rPr>
          <w:color w:val="auto"/>
          <w:sz w:val="24"/>
          <w:szCs w:val="24"/>
        </w:rPr>
      </w:pPr>
      <w:r w:rsidRPr="00B30208">
        <w:rPr>
          <w:color w:val="auto"/>
          <w:sz w:val="24"/>
          <w:szCs w:val="24"/>
        </w:rPr>
        <w:t xml:space="preserve">VIII – capacitação de profissionais da saúde para </w:t>
      </w:r>
      <w:r w:rsidRPr="00B30208">
        <w:rPr>
          <w:color w:val="auto"/>
          <w:sz w:val="24"/>
          <w:szCs w:val="24"/>
        </w:rPr>
        <w:lastRenderedPageBreak/>
        <w:t>acolhimento e tratamento de pessoas acometidas por sequelas neurológicas decorrentes de doenças transmitidas pelo Aedes aegypti.</w:t>
      </w:r>
    </w:p>
    <w:p w:rsidR="002A56AB" w:rsidRPr="00B30208" w:rsidRDefault="002A56AB" w:rsidP="002A56AB">
      <w:pPr>
        <w:ind w:firstLine="2302"/>
        <w:jc w:val="both"/>
        <w:rPr>
          <w:color w:val="auto"/>
          <w:sz w:val="24"/>
          <w:szCs w:val="24"/>
        </w:rPr>
      </w:pPr>
    </w:p>
    <w:p w:rsidR="002A56AB" w:rsidRPr="00B30208" w:rsidRDefault="002A56AB" w:rsidP="002A56AB">
      <w:pPr>
        <w:ind w:firstLine="2302"/>
        <w:jc w:val="both"/>
        <w:rPr>
          <w:color w:val="auto"/>
          <w:sz w:val="24"/>
          <w:szCs w:val="24"/>
        </w:rPr>
      </w:pPr>
      <w:r w:rsidRPr="00B30208">
        <w:rPr>
          <w:color w:val="auto"/>
          <w:sz w:val="24"/>
          <w:szCs w:val="24"/>
        </w:rPr>
        <w:t>Art. 9º A União facultará às pessoas físicas e às pessoas jurídicas, na qualidade de incentivadoras, a opção de deduzirem do imposto sobre a renda os valores correspondentes às doações e aos patrocínios diretamente efetuados em prol de ações e serviços de que trata os art. 8º, previamente aprovados pelo Ministério da Saúde.</w:t>
      </w:r>
    </w:p>
    <w:p w:rsidR="002A56AB" w:rsidRPr="00B30208" w:rsidRDefault="002A56AB" w:rsidP="002A56AB">
      <w:pPr>
        <w:ind w:firstLine="2302"/>
        <w:jc w:val="both"/>
        <w:rPr>
          <w:color w:val="auto"/>
          <w:sz w:val="24"/>
          <w:szCs w:val="24"/>
        </w:rPr>
      </w:pPr>
      <w:r w:rsidRPr="00B30208">
        <w:rPr>
          <w:color w:val="auto"/>
          <w:sz w:val="24"/>
          <w:szCs w:val="24"/>
        </w:rPr>
        <w:t>§ 1</w:t>
      </w:r>
      <w:proofErr w:type="gramStart"/>
      <w:r w:rsidRPr="00B30208">
        <w:rPr>
          <w:color w:val="auto"/>
          <w:sz w:val="24"/>
          <w:szCs w:val="24"/>
        </w:rPr>
        <w:t>º  As</w:t>
      </w:r>
      <w:proofErr w:type="gramEnd"/>
      <w:r w:rsidRPr="00B30208">
        <w:rPr>
          <w:color w:val="auto"/>
          <w:sz w:val="24"/>
          <w:szCs w:val="24"/>
        </w:rPr>
        <w:t xml:space="preserve"> doações poderão assumir as seguintes espécies de atos gratuitos: </w:t>
      </w:r>
    </w:p>
    <w:p w:rsidR="002A56AB" w:rsidRPr="00B30208" w:rsidRDefault="002A56AB" w:rsidP="002A56AB">
      <w:pPr>
        <w:ind w:firstLine="2302"/>
        <w:jc w:val="both"/>
        <w:rPr>
          <w:color w:val="auto"/>
          <w:sz w:val="24"/>
          <w:szCs w:val="24"/>
        </w:rPr>
      </w:pPr>
      <w:r w:rsidRPr="00B30208">
        <w:rPr>
          <w:color w:val="auto"/>
          <w:sz w:val="24"/>
          <w:szCs w:val="24"/>
        </w:rPr>
        <w:t xml:space="preserve">I - </w:t>
      </w:r>
      <w:proofErr w:type="gramStart"/>
      <w:r w:rsidRPr="00B30208">
        <w:rPr>
          <w:color w:val="auto"/>
          <w:sz w:val="24"/>
          <w:szCs w:val="24"/>
        </w:rPr>
        <w:t>transferência</w:t>
      </w:r>
      <w:proofErr w:type="gramEnd"/>
      <w:r w:rsidRPr="00B30208">
        <w:rPr>
          <w:color w:val="auto"/>
          <w:sz w:val="24"/>
          <w:szCs w:val="24"/>
        </w:rPr>
        <w:t xml:space="preserve"> de quantias em dinheiro; </w:t>
      </w:r>
    </w:p>
    <w:p w:rsidR="002A56AB" w:rsidRPr="00B30208" w:rsidRDefault="002A56AB" w:rsidP="002A56AB">
      <w:pPr>
        <w:ind w:firstLine="2302"/>
        <w:jc w:val="both"/>
        <w:rPr>
          <w:color w:val="auto"/>
          <w:sz w:val="24"/>
          <w:szCs w:val="24"/>
        </w:rPr>
      </w:pPr>
      <w:r w:rsidRPr="00B30208">
        <w:rPr>
          <w:color w:val="auto"/>
          <w:sz w:val="24"/>
          <w:szCs w:val="24"/>
        </w:rPr>
        <w:t xml:space="preserve">II - </w:t>
      </w:r>
      <w:proofErr w:type="gramStart"/>
      <w:r w:rsidRPr="00B30208">
        <w:rPr>
          <w:color w:val="auto"/>
          <w:sz w:val="24"/>
          <w:szCs w:val="24"/>
        </w:rPr>
        <w:t>transferência</w:t>
      </w:r>
      <w:proofErr w:type="gramEnd"/>
      <w:r w:rsidRPr="00B30208">
        <w:rPr>
          <w:color w:val="auto"/>
          <w:sz w:val="24"/>
          <w:szCs w:val="24"/>
        </w:rPr>
        <w:t xml:space="preserve"> de bens móveis ou imóveis; </w:t>
      </w:r>
    </w:p>
    <w:p w:rsidR="002A56AB" w:rsidRPr="00B30208" w:rsidRDefault="002A56AB" w:rsidP="002A56AB">
      <w:pPr>
        <w:ind w:firstLine="2302"/>
        <w:jc w:val="both"/>
        <w:rPr>
          <w:color w:val="auto"/>
          <w:sz w:val="24"/>
          <w:szCs w:val="24"/>
        </w:rPr>
      </w:pPr>
      <w:r w:rsidRPr="00B30208">
        <w:rPr>
          <w:color w:val="auto"/>
          <w:sz w:val="24"/>
          <w:szCs w:val="24"/>
        </w:rPr>
        <w:t>III - comodato ou cessão de uso de bens imóveis ou equipamentos; </w:t>
      </w:r>
    </w:p>
    <w:p w:rsidR="002A56AB" w:rsidRPr="00B30208" w:rsidRDefault="002A56AB" w:rsidP="002A56AB">
      <w:pPr>
        <w:ind w:firstLine="2302"/>
        <w:jc w:val="both"/>
        <w:rPr>
          <w:color w:val="auto"/>
          <w:sz w:val="24"/>
          <w:szCs w:val="24"/>
        </w:rPr>
      </w:pPr>
      <w:r w:rsidRPr="00B30208">
        <w:rPr>
          <w:color w:val="auto"/>
          <w:sz w:val="24"/>
          <w:szCs w:val="24"/>
        </w:rPr>
        <w:t xml:space="preserve">IV - </w:t>
      </w:r>
      <w:proofErr w:type="gramStart"/>
      <w:r w:rsidRPr="00B30208">
        <w:rPr>
          <w:color w:val="auto"/>
          <w:sz w:val="24"/>
          <w:szCs w:val="24"/>
        </w:rPr>
        <w:t>realização</w:t>
      </w:r>
      <w:proofErr w:type="gramEnd"/>
      <w:r w:rsidRPr="00B30208">
        <w:rPr>
          <w:color w:val="auto"/>
          <w:sz w:val="24"/>
          <w:szCs w:val="24"/>
        </w:rPr>
        <w:t xml:space="preserve"> de despesas em conservação, manutenção ou reparos nos bens móveis, imóveis e equipamentos, inclusive os referidos no inciso III; e </w:t>
      </w:r>
    </w:p>
    <w:p w:rsidR="002A56AB" w:rsidRPr="00B30208" w:rsidRDefault="002A56AB" w:rsidP="002A56AB">
      <w:pPr>
        <w:ind w:firstLine="2302"/>
        <w:jc w:val="both"/>
        <w:rPr>
          <w:color w:val="auto"/>
          <w:sz w:val="24"/>
          <w:szCs w:val="24"/>
        </w:rPr>
      </w:pPr>
      <w:r w:rsidRPr="00B30208">
        <w:rPr>
          <w:color w:val="auto"/>
          <w:sz w:val="24"/>
          <w:szCs w:val="24"/>
        </w:rPr>
        <w:t xml:space="preserve">V - </w:t>
      </w:r>
      <w:proofErr w:type="gramStart"/>
      <w:r w:rsidRPr="00B30208">
        <w:rPr>
          <w:color w:val="auto"/>
          <w:sz w:val="24"/>
          <w:szCs w:val="24"/>
        </w:rPr>
        <w:t>fornecimento</w:t>
      </w:r>
      <w:proofErr w:type="gramEnd"/>
      <w:r w:rsidRPr="00B30208">
        <w:rPr>
          <w:color w:val="auto"/>
          <w:sz w:val="24"/>
          <w:szCs w:val="24"/>
        </w:rPr>
        <w:t xml:space="preserve"> de material de consumo, insumos e produtos</w:t>
      </w:r>
      <w:r w:rsidRPr="00B30208">
        <w:rPr>
          <w:color w:val="FF0000"/>
          <w:sz w:val="24"/>
          <w:szCs w:val="24"/>
        </w:rPr>
        <w:t>.</w:t>
      </w:r>
      <w:r w:rsidRPr="00B30208">
        <w:rPr>
          <w:color w:val="auto"/>
          <w:sz w:val="24"/>
          <w:szCs w:val="24"/>
        </w:rPr>
        <w:t> </w:t>
      </w:r>
    </w:p>
    <w:p w:rsidR="002A56AB" w:rsidRPr="00B30208" w:rsidRDefault="002A56AB" w:rsidP="002A56AB">
      <w:pPr>
        <w:ind w:firstLine="2302"/>
        <w:jc w:val="both"/>
        <w:rPr>
          <w:color w:val="auto"/>
          <w:sz w:val="24"/>
          <w:szCs w:val="24"/>
        </w:rPr>
      </w:pPr>
      <w:bookmarkStart w:id="1" w:name="art4§2"/>
      <w:bookmarkEnd w:id="1"/>
      <w:r w:rsidRPr="00B30208">
        <w:rPr>
          <w:color w:val="auto"/>
          <w:sz w:val="24"/>
          <w:szCs w:val="24"/>
        </w:rPr>
        <w:t>§ 2º Considera-se patrocínio a prestação do incentivo com finalidade promocional. </w:t>
      </w:r>
    </w:p>
    <w:p w:rsidR="002A56AB" w:rsidRPr="00B30208" w:rsidRDefault="002A56AB" w:rsidP="002A56AB">
      <w:pPr>
        <w:ind w:firstLine="2302"/>
        <w:jc w:val="both"/>
        <w:rPr>
          <w:color w:val="auto"/>
          <w:sz w:val="24"/>
          <w:szCs w:val="24"/>
        </w:rPr>
      </w:pPr>
      <w:bookmarkStart w:id="2" w:name="art4§3"/>
      <w:bookmarkEnd w:id="2"/>
      <w:r w:rsidRPr="00B30208">
        <w:rPr>
          <w:color w:val="auto"/>
          <w:sz w:val="24"/>
          <w:szCs w:val="24"/>
        </w:rPr>
        <w:t>§ 3º A pessoa física incentivadora poderá deduzir do imposto sobre a renda devido, apurado na Declaração de Ajuste Anual, o valor total das doações e dos patrocínios. </w:t>
      </w:r>
    </w:p>
    <w:p w:rsidR="002A56AB" w:rsidRPr="00B30208" w:rsidRDefault="002A56AB" w:rsidP="002A56AB">
      <w:pPr>
        <w:ind w:firstLine="2302"/>
        <w:jc w:val="both"/>
        <w:rPr>
          <w:color w:val="auto"/>
          <w:sz w:val="24"/>
          <w:szCs w:val="24"/>
        </w:rPr>
      </w:pPr>
      <w:bookmarkStart w:id="3" w:name="art4§4"/>
      <w:bookmarkEnd w:id="3"/>
      <w:r w:rsidRPr="00B30208">
        <w:rPr>
          <w:color w:val="auto"/>
          <w:sz w:val="24"/>
          <w:szCs w:val="24"/>
        </w:rPr>
        <w:t>§ 4º A pessoa jurídica incentivadora tributada com base no lucro real poderá deduzir do imposto sobre a renda devido, em cada período de apuração, trimestral ou anual, o valor total das doações e dos patrocínios, vedada a dedução como despesa operacional. </w:t>
      </w:r>
    </w:p>
    <w:p w:rsidR="002A56AB" w:rsidRPr="00B30208" w:rsidRDefault="002A56AB" w:rsidP="002A56AB">
      <w:pPr>
        <w:ind w:firstLine="2302"/>
        <w:jc w:val="both"/>
        <w:rPr>
          <w:color w:val="auto"/>
          <w:sz w:val="24"/>
          <w:szCs w:val="24"/>
        </w:rPr>
      </w:pPr>
      <w:r w:rsidRPr="00B30208">
        <w:rPr>
          <w:color w:val="auto"/>
          <w:sz w:val="24"/>
          <w:szCs w:val="24"/>
        </w:rPr>
        <w:t>§ 5º Fica limitada a 1,5% (um e meio por cento)</w:t>
      </w:r>
      <w:r w:rsidR="0025170C" w:rsidRPr="00B30208">
        <w:rPr>
          <w:color w:val="auto"/>
          <w:sz w:val="24"/>
          <w:szCs w:val="24"/>
        </w:rPr>
        <w:t xml:space="preserve"> do imposto devido</w:t>
      </w:r>
      <w:r w:rsidRPr="00B30208">
        <w:rPr>
          <w:color w:val="auto"/>
          <w:sz w:val="24"/>
          <w:szCs w:val="24"/>
        </w:rPr>
        <w:t xml:space="preserve"> a dedução a que se refere este artigo para a pessoa física, sendo a dedução computada no limite do art. 22 da Lei nº 9.532, de 10 de dezembro de 1997. </w:t>
      </w:r>
    </w:p>
    <w:p w:rsidR="002A56AB" w:rsidRPr="00B30208" w:rsidRDefault="002A56AB" w:rsidP="002A56AB">
      <w:pPr>
        <w:ind w:firstLine="2302"/>
        <w:jc w:val="both"/>
        <w:rPr>
          <w:color w:val="auto"/>
          <w:sz w:val="24"/>
          <w:szCs w:val="24"/>
        </w:rPr>
      </w:pPr>
      <w:r w:rsidRPr="00B30208">
        <w:rPr>
          <w:color w:val="auto"/>
          <w:sz w:val="24"/>
          <w:szCs w:val="24"/>
        </w:rPr>
        <w:t>§ 6º Fica limitada a 1% (um por cento)</w:t>
      </w:r>
      <w:r w:rsidR="0025170C" w:rsidRPr="00B30208">
        <w:rPr>
          <w:color w:val="auto"/>
          <w:sz w:val="24"/>
          <w:szCs w:val="24"/>
        </w:rPr>
        <w:t xml:space="preserve"> do imposto devido</w:t>
      </w:r>
      <w:r w:rsidRPr="00B30208">
        <w:rPr>
          <w:color w:val="auto"/>
          <w:sz w:val="24"/>
          <w:szCs w:val="24"/>
        </w:rPr>
        <w:t xml:space="preserve"> a dedução a que se refere este artigo para a pessoa jurídica, sendo a dedução computada no limite do art. 5</w:t>
      </w:r>
      <w:r w:rsidRPr="00B30208">
        <w:rPr>
          <w:color w:val="auto"/>
          <w:sz w:val="24"/>
          <w:szCs w:val="24"/>
          <w:vertAlign w:val="superscript"/>
        </w:rPr>
        <w:t>o</w:t>
      </w:r>
      <w:r w:rsidRPr="00B30208">
        <w:rPr>
          <w:color w:val="auto"/>
          <w:sz w:val="24"/>
          <w:szCs w:val="24"/>
        </w:rPr>
        <w:t xml:space="preserve"> da Lei nº 9.532, de 10 de dezembro de 1997.</w:t>
      </w:r>
    </w:p>
    <w:p w:rsidR="002A56AB" w:rsidRPr="00B30208" w:rsidRDefault="002A56AB" w:rsidP="002A56AB">
      <w:pPr>
        <w:ind w:firstLine="2302"/>
        <w:jc w:val="both"/>
        <w:rPr>
          <w:color w:val="auto"/>
          <w:sz w:val="24"/>
          <w:szCs w:val="24"/>
        </w:rPr>
      </w:pPr>
      <w:r w:rsidRPr="00B30208">
        <w:rPr>
          <w:color w:val="auto"/>
          <w:sz w:val="24"/>
          <w:szCs w:val="24"/>
        </w:rPr>
        <w:t>§ 7º Na hipótese da doação em bens, o doador deverá considerar como valor dos bens doados:</w:t>
      </w:r>
    </w:p>
    <w:p w:rsidR="002A56AB" w:rsidRPr="00B30208" w:rsidRDefault="002A56AB" w:rsidP="002A56AB">
      <w:pPr>
        <w:ind w:firstLine="2302"/>
        <w:jc w:val="both"/>
        <w:rPr>
          <w:color w:val="auto"/>
          <w:sz w:val="24"/>
          <w:szCs w:val="24"/>
        </w:rPr>
      </w:pPr>
      <w:r w:rsidRPr="00B30208">
        <w:rPr>
          <w:color w:val="auto"/>
          <w:sz w:val="24"/>
          <w:szCs w:val="24"/>
        </w:rPr>
        <w:t xml:space="preserve">I - </w:t>
      </w:r>
      <w:proofErr w:type="gramStart"/>
      <w:r w:rsidRPr="00B30208">
        <w:rPr>
          <w:color w:val="auto"/>
          <w:sz w:val="24"/>
          <w:szCs w:val="24"/>
        </w:rPr>
        <w:t>para</w:t>
      </w:r>
      <w:proofErr w:type="gramEnd"/>
      <w:r w:rsidRPr="00B30208">
        <w:rPr>
          <w:color w:val="auto"/>
          <w:sz w:val="24"/>
          <w:szCs w:val="24"/>
        </w:rPr>
        <w:t xml:space="preserve"> as pessoas físicas, o valor constante da última </w:t>
      </w:r>
      <w:r w:rsidRPr="00B30208">
        <w:rPr>
          <w:color w:val="auto"/>
          <w:sz w:val="24"/>
          <w:szCs w:val="24"/>
        </w:rPr>
        <w:lastRenderedPageBreak/>
        <w:t>declaração do imposto sobre a renda; e </w:t>
      </w:r>
    </w:p>
    <w:p w:rsidR="002A56AB" w:rsidRPr="00B30208" w:rsidRDefault="002A56AB" w:rsidP="002A56AB">
      <w:pPr>
        <w:ind w:firstLine="2302"/>
        <w:jc w:val="both"/>
        <w:rPr>
          <w:color w:val="auto"/>
          <w:sz w:val="24"/>
          <w:szCs w:val="24"/>
        </w:rPr>
      </w:pPr>
      <w:r w:rsidRPr="00B30208">
        <w:rPr>
          <w:color w:val="auto"/>
          <w:sz w:val="24"/>
          <w:szCs w:val="24"/>
        </w:rPr>
        <w:t xml:space="preserve">II - </w:t>
      </w:r>
      <w:proofErr w:type="gramStart"/>
      <w:r w:rsidRPr="00B30208">
        <w:rPr>
          <w:color w:val="auto"/>
          <w:sz w:val="24"/>
          <w:szCs w:val="24"/>
        </w:rPr>
        <w:t>para</w:t>
      </w:r>
      <w:proofErr w:type="gramEnd"/>
      <w:r w:rsidRPr="00B30208">
        <w:rPr>
          <w:color w:val="auto"/>
          <w:sz w:val="24"/>
          <w:szCs w:val="24"/>
        </w:rPr>
        <w:t xml:space="preserve"> as pessoas jurídicas, o valor contábil dos bens. </w:t>
      </w:r>
    </w:p>
    <w:p w:rsidR="002A56AB" w:rsidRPr="00B30208" w:rsidRDefault="002A56AB" w:rsidP="002A56AB">
      <w:pPr>
        <w:ind w:firstLine="2302"/>
        <w:jc w:val="both"/>
        <w:rPr>
          <w:color w:val="auto"/>
          <w:sz w:val="24"/>
          <w:szCs w:val="24"/>
        </w:rPr>
      </w:pPr>
    </w:p>
    <w:p w:rsidR="002A56AB" w:rsidRPr="00B30208" w:rsidRDefault="002A56AB" w:rsidP="002A56AB">
      <w:pPr>
        <w:ind w:firstLine="2302"/>
        <w:jc w:val="both"/>
        <w:rPr>
          <w:color w:val="auto"/>
          <w:sz w:val="24"/>
          <w:szCs w:val="24"/>
        </w:rPr>
      </w:pPr>
      <w:r w:rsidRPr="00B30208">
        <w:rPr>
          <w:color w:val="auto"/>
          <w:sz w:val="24"/>
          <w:szCs w:val="24"/>
        </w:rPr>
        <w:t>Art. 10. Em até 30 (trinta) dias da publicação desta Lei, o Ministério da Saúde regulamentará os critérios e procedimentos para aprovação de projetos do PRONAEDES, obedecidos os seguintes critérios:</w:t>
      </w:r>
    </w:p>
    <w:p w:rsidR="002A56AB" w:rsidRPr="00B30208" w:rsidRDefault="002A56AB" w:rsidP="002A56AB">
      <w:pPr>
        <w:ind w:firstLine="2302"/>
        <w:jc w:val="both"/>
        <w:rPr>
          <w:color w:val="auto"/>
          <w:sz w:val="24"/>
          <w:szCs w:val="24"/>
        </w:rPr>
      </w:pPr>
      <w:r w:rsidRPr="00B30208">
        <w:rPr>
          <w:color w:val="auto"/>
          <w:sz w:val="24"/>
          <w:szCs w:val="24"/>
        </w:rPr>
        <w:t xml:space="preserve">I – </w:t>
      </w:r>
      <w:proofErr w:type="gramStart"/>
      <w:r w:rsidRPr="00B30208">
        <w:rPr>
          <w:color w:val="auto"/>
          <w:sz w:val="24"/>
          <w:szCs w:val="24"/>
        </w:rPr>
        <w:t>priorização</w:t>
      </w:r>
      <w:proofErr w:type="gramEnd"/>
      <w:r w:rsidRPr="00B30208">
        <w:rPr>
          <w:color w:val="auto"/>
          <w:sz w:val="24"/>
          <w:szCs w:val="24"/>
        </w:rPr>
        <w:t xml:space="preserve"> das áreas de maior incidência das doenças causadas pelo Vírus da Dengue, do Vírus Chikungunya e do Zika Vírus;</w:t>
      </w:r>
    </w:p>
    <w:p w:rsidR="002A56AB" w:rsidRPr="00B30208" w:rsidRDefault="002A56AB" w:rsidP="002A56AB">
      <w:pPr>
        <w:ind w:firstLine="2302"/>
        <w:jc w:val="both"/>
        <w:rPr>
          <w:color w:val="auto"/>
          <w:sz w:val="24"/>
          <w:szCs w:val="24"/>
        </w:rPr>
      </w:pPr>
      <w:r w:rsidRPr="00B30208">
        <w:rPr>
          <w:color w:val="auto"/>
          <w:sz w:val="24"/>
          <w:szCs w:val="24"/>
        </w:rPr>
        <w:t xml:space="preserve">II – </w:t>
      </w:r>
      <w:proofErr w:type="gramStart"/>
      <w:r w:rsidRPr="00B30208">
        <w:rPr>
          <w:color w:val="auto"/>
          <w:sz w:val="24"/>
          <w:szCs w:val="24"/>
        </w:rPr>
        <w:t>redução</w:t>
      </w:r>
      <w:proofErr w:type="gramEnd"/>
      <w:r w:rsidRPr="00B30208">
        <w:rPr>
          <w:color w:val="auto"/>
          <w:sz w:val="24"/>
          <w:szCs w:val="24"/>
        </w:rPr>
        <w:t xml:space="preserve"> das desigualdades regionais;</w:t>
      </w:r>
    </w:p>
    <w:p w:rsidR="002A56AB" w:rsidRPr="00B30208" w:rsidRDefault="002A56AB" w:rsidP="002A56AB">
      <w:pPr>
        <w:ind w:firstLine="2302"/>
        <w:jc w:val="both"/>
        <w:rPr>
          <w:color w:val="auto"/>
          <w:sz w:val="24"/>
          <w:szCs w:val="24"/>
        </w:rPr>
      </w:pPr>
      <w:r w:rsidRPr="00B30208">
        <w:rPr>
          <w:color w:val="auto"/>
          <w:sz w:val="24"/>
          <w:szCs w:val="24"/>
        </w:rPr>
        <w:t>III – priorização dos Municípios com menor montante de recursos próprios disponíveis para vigilância em saúde;</w:t>
      </w:r>
    </w:p>
    <w:p w:rsidR="002A56AB" w:rsidRPr="00B30208" w:rsidRDefault="002A56AB" w:rsidP="002A56AB">
      <w:pPr>
        <w:ind w:firstLine="2302"/>
        <w:jc w:val="both"/>
        <w:rPr>
          <w:color w:val="auto"/>
          <w:sz w:val="24"/>
          <w:szCs w:val="24"/>
        </w:rPr>
      </w:pPr>
      <w:r w:rsidRPr="00B30208">
        <w:rPr>
          <w:color w:val="auto"/>
          <w:sz w:val="24"/>
          <w:szCs w:val="24"/>
        </w:rPr>
        <w:t xml:space="preserve">IV – </w:t>
      </w:r>
      <w:proofErr w:type="gramStart"/>
      <w:r w:rsidRPr="00B30208">
        <w:rPr>
          <w:color w:val="auto"/>
          <w:sz w:val="24"/>
          <w:szCs w:val="24"/>
        </w:rPr>
        <w:t>priorização</w:t>
      </w:r>
      <w:proofErr w:type="gramEnd"/>
      <w:r w:rsidRPr="00B30208">
        <w:rPr>
          <w:color w:val="auto"/>
          <w:sz w:val="24"/>
          <w:szCs w:val="24"/>
        </w:rPr>
        <w:t xml:space="preserve"> da prevenção à doença.</w:t>
      </w:r>
    </w:p>
    <w:p w:rsidR="002A56AB" w:rsidRPr="00B30208" w:rsidRDefault="002A56AB" w:rsidP="002A56AB">
      <w:pPr>
        <w:ind w:firstLine="2302"/>
        <w:jc w:val="both"/>
        <w:rPr>
          <w:color w:val="auto"/>
          <w:sz w:val="24"/>
          <w:szCs w:val="24"/>
        </w:rPr>
      </w:pPr>
    </w:p>
    <w:p w:rsidR="002A56AB" w:rsidRPr="00B30208" w:rsidRDefault="002A56AB" w:rsidP="002A56AB">
      <w:pPr>
        <w:ind w:firstLine="2302"/>
        <w:jc w:val="both"/>
        <w:rPr>
          <w:color w:val="auto"/>
          <w:sz w:val="24"/>
          <w:szCs w:val="24"/>
        </w:rPr>
      </w:pPr>
      <w:r w:rsidRPr="00B30208">
        <w:rPr>
          <w:color w:val="auto"/>
          <w:sz w:val="24"/>
          <w:szCs w:val="24"/>
        </w:rPr>
        <w:t>Art. 11. O Município destinatário titular da ação ou serviço definido no art. 8º deve emitir recibo em favor do doador ou patrocinador, na forma e condições estabelecidas em ato da Secretaria da Receita Federal do Brasil do Ministério da Fazenda, inclusive de emissão eletrônica.</w:t>
      </w:r>
    </w:p>
    <w:p w:rsidR="002A56AB" w:rsidRPr="00B30208" w:rsidRDefault="002A56AB" w:rsidP="002A56AB">
      <w:pPr>
        <w:ind w:firstLine="2302"/>
        <w:jc w:val="both"/>
        <w:rPr>
          <w:color w:val="auto"/>
          <w:sz w:val="24"/>
          <w:szCs w:val="24"/>
        </w:rPr>
      </w:pPr>
    </w:p>
    <w:p w:rsidR="002A56AB" w:rsidRPr="00B30208" w:rsidRDefault="002A56AB" w:rsidP="002A56AB">
      <w:pPr>
        <w:ind w:firstLine="2302"/>
        <w:jc w:val="both"/>
        <w:rPr>
          <w:color w:val="auto"/>
          <w:sz w:val="24"/>
          <w:szCs w:val="24"/>
        </w:rPr>
      </w:pPr>
      <w:r w:rsidRPr="00B30208">
        <w:rPr>
          <w:color w:val="auto"/>
          <w:sz w:val="24"/>
          <w:szCs w:val="24"/>
        </w:rPr>
        <w:t>Art. 12. As ações e serviços definidos no art. 8º deverão ter seu desenvolvimento acompanhado e avaliado pelo Ministério da Saúde, na forma estabelecida em ato do Poder Executivo, observada a necessidade de participação do controle social, nos termos da </w:t>
      </w:r>
      <w:hyperlink r:id="rId8" w:history="1">
        <w:r w:rsidRPr="00B30208">
          <w:rPr>
            <w:color w:val="auto"/>
            <w:sz w:val="24"/>
            <w:szCs w:val="24"/>
          </w:rPr>
          <w:t>Lei nº 8.142, de 28 de dezembro de 1990.</w:t>
        </w:r>
      </w:hyperlink>
      <w:r w:rsidRPr="00B30208">
        <w:rPr>
          <w:color w:val="auto"/>
          <w:sz w:val="24"/>
          <w:szCs w:val="24"/>
        </w:rPr>
        <w:t xml:space="preserve">       </w:t>
      </w:r>
    </w:p>
    <w:p w:rsidR="002A56AB" w:rsidRPr="00B30208" w:rsidRDefault="002A56AB" w:rsidP="002A56AB">
      <w:pPr>
        <w:ind w:firstLine="2302"/>
        <w:jc w:val="both"/>
        <w:rPr>
          <w:color w:val="auto"/>
          <w:sz w:val="24"/>
          <w:szCs w:val="24"/>
        </w:rPr>
      </w:pPr>
      <w:bookmarkStart w:id="4" w:name="art8§1"/>
      <w:bookmarkEnd w:id="4"/>
      <w:r w:rsidRPr="00B30208">
        <w:rPr>
          <w:color w:val="auto"/>
          <w:sz w:val="24"/>
          <w:szCs w:val="24"/>
        </w:rPr>
        <w:t>§ 1º A avaliação pelo Ministério da Saúde da correta aplicação dos recursos recebidos terá lugar ao final do desenvolvimento das ações e serviços, ou ocorrerá anualmente, se permanentes. </w:t>
      </w:r>
    </w:p>
    <w:p w:rsidR="002A56AB" w:rsidRPr="00B30208" w:rsidRDefault="002A56AB" w:rsidP="002A56AB">
      <w:pPr>
        <w:ind w:firstLine="2302"/>
        <w:jc w:val="both"/>
        <w:rPr>
          <w:color w:val="auto"/>
          <w:sz w:val="24"/>
          <w:szCs w:val="24"/>
        </w:rPr>
      </w:pPr>
      <w:bookmarkStart w:id="5" w:name="art8§2"/>
      <w:bookmarkEnd w:id="5"/>
      <w:r w:rsidRPr="00B30208">
        <w:rPr>
          <w:color w:val="auto"/>
          <w:sz w:val="24"/>
          <w:szCs w:val="24"/>
        </w:rPr>
        <w:t>§ 2</w:t>
      </w:r>
      <w:proofErr w:type="gramStart"/>
      <w:r w:rsidRPr="00B30208">
        <w:rPr>
          <w:color w:val="auto"/>
          <w:sz w:val="24"/>
          <w:szCs w:val="24"/>
        </w:rPr>
        <w:t>º  Os</w:t>
      </w:r>
      <w:proofErr w:type="gramEnd"/>
      <w:r w:rsidRPr="00B30208">
        <w:rPr>
          <w:color w:val="auto"/>
          <w:sz w:val="24"/>
          <w:szCs w:val="24"/>
        </w:rPr>
        <w:t xml:space="preserve"> incentivadores e os Municípios destinatários deverão, na forma de instruções expedidas pelo Ministério da Saúde, comunicar-lhe os incentivos realizados e recebidos, cabendo aos destinatários a comprovação de sua aplicação. </w:t>
      </w:r>
    </w:p>
    <w:p w:rsidR="002A56AB" w:rsidRPr="00B30208" w:rsidRDefault="002A56AB" w:rsidP="002A56AB">
      <w:pPr>
        <w:ind w:firstLine="2302"/>
        <w:jc w:val="both"/>
        <w:rPr>
          <w:color w:val="auto"/>
          <w:sz w:val="24"/>
          <w:szCs w:val="24"/>
        </w:rPr>
      </w:pPr>
      <w:bookmarkStart w:id="6" w:name="art8§3"/>
      <w:bookmarkEnd w:id="6"/>
      <w:r w:rsidRPr="00B30208">
        <w:rPr>
          <w:color w:val="auto"/>
          <w:sz w:val="24"/>
          <w:szCs w:val="24"/>
        </w:rPr>
        <w:t>§ 3</w:t>
      </w:r>
      <w:proofErr w:type="gramStart"/>
      <w:r w:rsidRPr="00B30208">
        <w:rPr>
          <w:color w:val="auto"/>
          <w:sz w:val="24"/>
          <w:szCs w:val="24"/>
        </w:rPr>
        <w:t>º  Deverá</w:t>
      </w:r>
      <w:proofErr w:type="gramEnd"/>
      <w:r w:rsidRPr="00B30208">
        <w:rPr>
          <w:color w:val="auto"/>
          <w:sz w:val="24"/>
          <w:szCs w:val="24"/>
        </w:rPr>
        <w:t xml:space="preserve"> ser elaborado relatório de avaliação e acompanhamento das ações e serviços previstos no caput e publicado em sítio eletrônico do Ministério da Saúde na Rede Mundial de Computadores - Internet. </w:t>
      </w:r>
    </w:p>
    <w:p w:rsidR="002A56AB" w:rsidRPr="00B30208" w:rsidRDefault="002A56AB" w:rsidP="002A56AB">
      <w:pPr>
        <w:ind w:firstLine="2302"/>
        <w:jc w:val="both"/>
        <w:rPr>
          <w:color w:val="auto"/>
          <w:sz w:val="24"/>
          <w:szCs w:val="24"/>
        </w:rPr>
      </w:pPr>
      <w:r w:rsidRPr="00B30208">
        <w:rPr>
          <w:color w:val="auto"/>
          <w:sz w:val="24"/>
          <w:szCs w:val="24"/>
        </w:rPr>
        <w:t>§ 4º O Tribunal de Contas da União é competente para fiscalizar a aplicação dos incentivos fiscais concedidos nos termos desta Lei.</w:t>
      </w:r>
    </w:p>
    <w:p w:rsidR="002A56AB" w:rsidRPr="00B30208" w:rsidRDefault="002A56AB" w:rsidP="002A56AB">
      <w:pPr>
        <w:ind w:firstLine="2302"/>
        <w:jc w:val="both"/>
        <w:rPr>
          <w:color w:val="auto"/>
          <w:sz w:val="24"/>
          <w:szCs w:val="24"/>
        </w:rPr>
      </w:pPr>
    </w:p>
    <w:p w:rsidR="002A56AB" w:rsidRPr="00B30208" w:rsidRDefault="002A56AB" w:rsidP="002A56AB">
      <w:pPr>
        <w:ind w:firstLine="2302"/>
        <w:jc w:val="both"/>
        <w:rPr>
          <w:color w:val="auto"/>
          <w:sz w:val="24"/>
          <w:szCs w:val="24"/>
        </w:rPr>
      </w:pPr>
      <w:bookmarkStart w:id="7" w:name="art9"/>
      <w:bookmarkEnd w:id="7"/>
      <w:r w:rsidRPr="00B30208">
        <w:rPr>
          <w:color w:val="auto"/>
          <w:sz w:val="24"/>
          <w:szCs w:val="24"/>
        </w:rPr>
        <w:t xml:space="preserve">Art. </w:t>
      </w:r>
      <w:proofErr w:type="gramStart"/>
      <w:r w:rsidRPr="00B30208">
        <w:rPr>
          <w:color w:val="auto"/>
          <w:sz w:val="24"/>
          <w:szCs w:val="24"/>
        </w:rPr>
        <w:t>13  Em</w:t>
      </w:r>
      <w:proofErr w:type="gramEnd"/>
      <w:r w:rsidRPr="00B30208">
        <w:rPr>
          <w:color w:val="auto"/>
          <w:sz w:val="24"/>
          <w:szCs w:val="24"/>
        </w:rPr>
        <w:t xml:space="preserve"> caso de execução de má qualidade ou de inexecução parcial ou completa das ações e serviços de que trata o art. 8º, o </w:t>
      </w:r>
      <w:r w:rsidRPr="00B30208">
        <w:rPr>
          <w:color w:val="auto"/>
          <w:sz w:val="24"/>
          <w:szCs w:val="24"/>
        </w:rPr>
        <w:lastRenderedPageBreak/>
        <w:t>Ministério da Saúde poderá inabilitar, p</w:t>
      </w:r>
      <w:r w:rsidR="008552B6" w:rsidRPr="00B30208">
        <w:rPr>
          <w:color w:val="auto"/>
          <w:sz w:val="24"/>
          <w:szCs w:val="24"/>
        </w:rPr>
        <w:t>elo ano subsequente</w:t>
      </w:r>
      <w:r w:rsidRPr="00B30208">
        <w:rPr>
          <w:color w:val="auto"/>
          <w:sz w:val="24"/>
          <w:szCs w:val="24"/>
        </w:rPr>
        <w:t>, o Município destinatário, mediante decisão motivada e da qual caberá recurso para o Ministro de Estado da Saúde.</w:t>
      </w:r>
    </w:p>
    <w:p w:rsidR="002A56AB" w:rsidRPr="00B30208" w:rsidRDefault="002A56AB" w:rsidP="002A56AB">
      <w:pPr>
        <w:ind w:firstLine="2302"/>
        <w:jc w:val="both"/>
        <w:rPr>
          <w:color w:val="auto"/>
          <w:sz w:val="24"/>
          <w:szCs w:val="24"/>
        </w:rPr>
      </w:pPr>
      <w:r w:rsidRPr="00B30208">
        <w:rPr>
          <w:color w:val="auto"/>
          <w:sz w:val="24"/>
          <w:szCs w:val="24"/>
        </w:rPr>
        <w:t>Parágrafo único.  Ato do Poder Executivo estabelecerá os critérios para a inabilitação e os procedimentos de que trata o caput, assegurada a ampla defesa e o contraditório.</w:t>
      </w:r>
    </w:p>
    <w:p w:rsidR="002A56AB" w:rsidRPr="00B30208" w:rsidRDefault="002A56AB" w:rsidP="002A56AB">
      <w:pPr>
        <w:ind w:firstLine="2302"/>
        <w:jc w:val="both"/>
        <w:rPr>
          <w:color w:val="auto"/>
          <w:sz w:val="24"/>
          <w:szCs w:val="24"/>
        </w:rPr>
      </w:pPr>
    </w:p>
    <w:p w:rsidR="002A56AB" w:rsidRPr="00B30208" w:rsidRDefault="002A56AB" w:rsidP="002A56AB">
      <w:pPr>
        <w:ind w:firstLine="2302"/>
        <w:jc w:val="both"/>
        <w:rPr>
          <w:color w:val="auto"/>
          <w:sz w:val="24"/>
          <w:szCs w:val="24"/>
        </w:rPr>
      </w:pPr>
      <w:r w:rsidRPr="00B30208">
        <w:rPr>
          <w:color w:val="auto"/>
          <w:sz w:val="24"/>
          <w:szCs w:val="24"/>
        </w:rPr>
        <w:t>Art. 14.  Os recursos objeto de doação ou patrocínio deverão ser depositados e movimentados em conta bancária específica em nome do Município destinatário.</w:t>
      </w:r>
      <w:bookmarkStart w:id="8" w:name="art10p"/>
      <w:bookmarkEnd w:id="8"/>
    </w:p>
    <w:p w:rsidR="002A56AB" w:rsidRPr="00B30208" w:rsidRDefault="002A56AB" w:rsidP="002A56AB">
      <w:pPr>
        <w:ind w:firstLine="2302"/>
        <w:jc w:val="both"/>
        <w:rPr>
          <w:color w:val="auto"/>
          <w:sz w:val="24"/>
          <w:szCs w:val="24"/>
        </w:rPr>
      </w:pPr>
      <w:r w:rsidRPr="00B30208">
        <w:rPr>
          <w:color w:val="auto"/>
          <w:sz w:val="24"/>
          <w:szCs w:val="24"/>
        </w:rPr>
        <w:t>Parágrafo único.  Não serão considerados, para fim de comprovação do incentivo, os aportes em relação aos quais não se cumpra o disposto neste artigo. </w:t>
      </w:r>
    </w:p>
    <w:p w:rsidR="002A56AB" w:rsidRPr="00B30208" w:rsidRDefault="002A56AB" w:rsidP="002A56AB">
      <w:pPr>
        <w:ind w:firstLine="2302"/>
        <w:jc w:val="both"/>
        <w:rPr>
          <w:color w:val="auto"/>
          <w:sz w:val="24"/>
          <w:szCs w:val="24"/>
        </w:rPr>
      </w:pPr>
    </w:p>
    <w:p w:rsidR="002A56AB" w:rsidRPr="00B30208" w:rsidRDefault="002A56AB" w:rsidP="002A56AB">
      <w:pPr>
        <w:ind w:firstLine="2302"/>
        <w:jc w:val="both"/>
        <w:rPr>
          <w:color w:val="auto"/>
          <w:sz w:val="24"/>
          <w:szCs w:val="24"/>
        </w:rPr>
      </w:pPr>
      <w:bookmarkStart w:id="9" w:name="art11"/>
      <w:bookmarkEnd w:id="9"/>
      <w:r w:rsidRPr="00B30208">
        <w:rPr>
          <w:color w:val="auto"/>
          <w:sz w:val="24"/>
          <w:szCs w:val="24"/>
        </w:rPr>
        <w:t xml:space="preserve">Art. 15.  Nenhuma aplicação dos recursos poderá ser efetuada mediante intermediação. </w:t>
      </w:r>
    </w:p>
    <w:p w:rsidR="002A56AB" w:rsidRPr="00B30208" w:rsidRDefault="002A56AB" w:rsidP="002A56AB">
      <w:pPr>
        <w:ind w:firstLine="2302"/>
        <w:jc w:val="both"/>
        <w:rPr>
          <w:color w:val="auto"/>
          <w:sz w:val="24"/>
          <w:szCs w:val="24"/>
        </w:rPr>
      </w:pPr>
      <w:bookmarkStart w:id="10" w:name="art11p"/>
      <w:bookmarkEnd w:id="10"/>
    </w:p>
    <w:p w:rsidR="002A56AB" w:rsidRPr="00B30208" w:rsidRDefault="002A56AB" w:rsidP="002A56AB">
      <w:pPr>
        <w:ind w:firstLine="2302"/>
        <w:jc w:val="both"/>
        <w:rPr>
          <w:color w:val="auto"/>
          <w:sz w:val="24"/>
          <w:szCs w:val="24"/>
        </w:rPr>
      </w:pPr>
      <w:bookmarkStart w:id="11" w:name="art12"/>
      <w:bookmarkEnd w:id="11"/>
      <w:r w:rsidRPr="00B30208">
        <w:rPr>
          <w:color w:val="auto"/>
          <w:sz w:val="24"/>
          <w:szCs w:val="24"/>
        </w:rPr>
        <w:t xml:space="preserve">Art. 16.  Constitui infração ao disposto nesta Lei o recebimento pelo patrocinador de vantagem financeira ou bem, em razão do patrocínio. </w:t>
      </w:r>
    </w:p>
    <w:p w:rsidR="002A56AB" w:rsidRPr="00B30208" w:rsidRDefault="002A56AB" w:rsidP="002A56AB">
      <w:pPr>
        <w:ind w:firstLine="2302"/>
        <w:jc w:val="both"/>
        <w:rPr>
          <w:color w:val="auto"/>
          <w:sz w:val="24"/>
          <w:szCs w:val="24"/>
        </w:rPr>
      </w:pPr>
    </w:p>
    <w:p w:rsidR="002A56AB" w:rsidRPr="00B30208" w:rsidRDefault="002A56AB" w:rsidP="002A56AB">
      <w:pPr>
        <w:ind w:firstLine="2302"/>
        <w:jc w:val="both"/>
        <w:rPr>
          <w:color w:val="auto"/>
          <w:sz w:val="24"/>
          <w:szCs w:val="24"/>
        </w:rPr>
      </w:pPr>
      <w:bookmarkStart w:id="12" w:name="art13"/>
      <w:bookmarkEnd w:id="12"/>
      <w:r w:rsidRPr="00B30208">
        <w:rPr>
          <w:color w:val="auto"/>
          <w:sz w:val="24"/>
          <w:szCs w:val="24"/>
        </w:rPr>
        <w:t xml:space="preserve">Art. 17.  As infrações ao disposto nos </w:t>
      </w:r>
      <w:proofErr w:type="spellStart"/>
      <w:r w:rsidRPr="00B30208">
        <w:rPr>
          <w:color w:val="auto"/>
          <w:sz w:val="24"/>
          <w:szCs w:val="24"/>
        </w:rPr>
        <w:t>arts</w:t>
      </w:r>
      <w:proofErr w:type="spellEnd"/>
      <w:r w:rsidRPr="00B30208">
        <w:rPr>
          <w:color w:val="auto"/>
          <w:sz w:val="24"/>
          <w:szCs w:val="24"/>
        </w:rPr>
        <w:t>. 7º a 16 desta Lei, sem prejuízo das sanções penais cabíveis, sujeitarão o doador ou patrocinador ao pagamento do valor atualizado do imposto sobre a renda devido em relação a cada exercício financeiro e das penalidades e demais acréscimos previstos na legislação vigente. </w:t>
      </w:r>
    </w:p>
    <w:p w:rsidR="002A56AB" w:rsidRPr="00B30208" w:rsidRDefault="002A56AB" w:rsidP="002A56AB">
      <w:pPr>
        <w:ind w:firstLine="2302"/>
        <w:jc w:val="both"/>
        <w:rPr>
          <w:color w:val="auto"/>
          <w:sz w:val="24"/>
          <w:szCs w:val="24"/>
        </w:rPr>
      </w:pPr>
    </w:p>
    <w:p w:rsidR="002A56AB" w:rsidRPr="00B30208" w:rsidRDefault="002A56AB" w:rsidP="002A56AB">
      <w:pPr>
        <w:ind w:firstLine="2302"/>
        <w:jc w:val="both"/>
        <w:rPr>
          <w:color w:val="auto"/>
          <w:sz w:val="24"/>
          <w:szCs w:val="24"/>
        </w:rPr>
      </w:pPr>
      <w:r w:rsidRPr="00B30208">
        <w:rPr>
          <w:color w:val="auto"/>
          <w:sz w:val="24"/>
          <w:szCs w:val="24"/>
        </w:rPr>
        <w:t>Art. 18. Fará jus ao Benefício de Prestação Continuada temporário (BPC), a que se refere o artigo 20 da Lei nº 8.742, de 7 de dezembro de 1993, pelo prazo máximo de três anos, na condição de pessoa com deficiência, a criança vítima de microcefalia em decorrência de sequelas neurológicas decorrentes de doenças transmitidas pelo Aedes aegypti.</w:t>
      </w:r>
    </w:p>
    <w:p w:rsidR="002A56AB" w:rsidRPr="00B30208" w:rsidRDefault="002A56AB" w:rsidP="002A56AB">
      <w:pPr>
        <w:ind w:firstLine="2302"/>
        <w:jc w:val="both"/>
        <w:rPr>
          <w:color w:val="auto"/>
          <w:sz w:val="24"/>
          <w:szCs w:val="24"/>
        </w:rPr>
      </w:pPr>
      <w:r w:rsidRPr="00B30208">
        <w:rPr>
          <w:color w:val="auto"/>
          <w:sz w:val="24"/>
          <w:szCs w:val="24"/>
        </w:rPr>
        <w:t xml:space="preserve">§1º Para efeito da primeira concessão do benefício, presume-se a condição de miserabilidade do grupo familiar. </w:t>
      </w:r>
    </w:p>
    <w:p w:rsidR="002A56AB" w:rsidRPr="00B30208" w:rsidRDefault="002A56AB" w:rsidP="002A56AB">
      <w:pPr>
        <w:ind w:firstLine="2302"/>
        <w:jc w:val="both"/>
        <w:rPr>
          <w:color w:val="auto"/>
          <w:sz w:val="24"/>
          <w:szCs w:val="24"/>
        </w:rPr>
      </w:pPr>
      <w:r w:rsidRPr="00B30208">
        <w:rPr>
          <w:color w:val="auto"/>
          <w:sz w:val="24"/>
          <w:szCs w:val="24"/>
        </w:rPr>
        <w:t>§2º O benefício será concedido após a cessação do gozo do salário-maternidade originado pelo nascimento da criança vítima de microcefalia.</w:t>
      </w:r>
    </w:p>
    <w:p w:rsidR="002A56AB" w:rsidRPr="00B30208" w:rsidRDefault="002A56AB" w:rsidP="002A56AB">
      <w:pPr>
        <w:ind w:firstLine="2302"/>
        <w:jc w:val="both"/>
        <w:rPr>
          <w:color w:val="auto"/>
          <w:sz w:val="24"/>
          <w:szCs w:val="24"/>
        </w:rPr>
      </w:pPr>
      <w:r w:rsidRPr="00B30208">
        <w:rPr>
          <w:color w:val="auto"/>
          <w:sz w:val="24"/>
          <w:szCs w:val="24"/>
        </w:rPr>
        <w:t>§3º A licença maternidade prevista no art. 392 do Decreto-</w:t>
      </w:r>
      <w:r w:rsidRPr="00B30208">
        <w:rPr>
          <w:color w:val="auto"/>
          <w:sz w:val="24"/>
          <w:szCs w:val="24"/>
        </w:rPr>
        <w:lastRenderedPageBreak/>
        <w:t>lei n</w:t>
      </w:r>
      <w:r w:rsidRPr="00B30208">
        <w:rPr>
          <w:color w:val="auto"/>
          <w:sz w:val="24"/>
          <w:szCs w:val="24"/>
          <w:vertAlign w:val="superscript"/>
        </w:rPr>
        <w:t>o</w:t>
      </w:r>
      <w:r w:rsidRPr="00B30208">
        <w:rPr>
          <w:color w:val="auto"/>
          <w:sz w:val="24"/>
          <w:szCs w:val="24"/>
        </w:rPr>
        <w:t xml:space="preserve"> 5.452, de 1</w:t>
      </w:r>
      <w:r w:rsidRPr="00B30208">
        <w:rPr>
          <w:color w:val="auto"/>
          <w:sz w:val="24"/>
          <w:szCs w:val="24"/>
          <w:vertAlign w:val="superscript"/>
        </w:rPr>
        <w:t>o</w:t>
      </w:r>
      <w:r w:rsidRPr="00B30208">
        <w:rPr>
          <w:color w:val="auto"/>
          <w:sz w:val="24"/>
          <w:szCs w:val="24"/>
        </w:rPr>
        <w:t xml:space="preserve"> de maio de 1943, será de 180 (cento e oitenta) dias no caso das mães de crianças acometidas por sequelas neurológicas decorrentes de doenças transmitidas pelo Aedes aegypti, assegurado, nesse período, o recebimento de salário-maternidade previsto no art. 71 da Lei n</w:t>
      </w:r>
      <w:r w:rsidRPr="00B30208">
        <w:rPr>
          <w:color w:val="auto"/>
          <w:sz w:val="24"/>
          <w:szCs w:val="24"/>
          <w:vertAlign w:val="superscript"/>
        </w:rPr>
        <w:t>o</w:t>
      </w:r>
      <w:r w:rsidRPr="00B30208">
        <w:rPr>
          <w:color w:val="auto"/>
          <w:sz w:val="24"/>
          <w:szCs w:val="24"/>
        </w:rPr>
        <w:t xml:space="preserve"> 8.213, de 24 de julho de 1991.</w:t>
      </w:r>
    </w:p>
    <w:p w:rsidR="002A56AB" w:rsidRPr="00B30208" w:rsidRDefault="002A56AB" w:rsidP="002A56AB">
      <w:pPr>
        <w:ind w:firstLine="2302"/>
        <w:jc w:val="both"/>
        <w:rPr>
          <w:color w:val="auto"/>
          <w:sz w:val="24"/>
          <w:szCs w:val="24"/>
        </w:rPr>
      </w:pPr>
      <w:r w:rsidRPr="00B30208">
        <w:rPr>
          <w:color w:val="auto"/>
          <w:sz w:val="24"/>
          <w:szCs w:val="24"/>
        </w:rPr>
        <w:t>§4º O disposto no §3º aplica-se no que couber à segurada especial, contribuinte individual, facultativa e trabalhadora avulsa.</w:t>
      </w:r>
    </w:p>
    <w:p w:rsidR="002A56AB" w:rsidRPr="00B30208" w:rsidRDefault="002A56AB" w:rsidP="002A56AB">
      <w:pPr>
        <w:ind w:firstLine="2302"/>
        <w:jc w:val="both"/>
        <w:rPr>
          <w:color w:val="auto"/>
          <w:sz w:val="24"/>
          <w:szCs w:val="24"/>
        </w:rPr>
      </w:pPr>
      <w:r w:rsidRPr="00B30208">
        <w:rPr>
          <w:color w:val="auto"/>
          <w:sz w:val="24"/>
          <w:szCs w:val="24"/>
        </w:rPr>
        <w:t xml:space="preserve">§5º O montante da multa prevista no art. 8º da Lei nº 13.254, de 13 de janeiro de 2016, destinado à União, poderá ser utilizado nas ações previstas neste artigo. </w:t>
      </w:r>
    </w:p>
    <w:p w:rsidR="006F19AF" w:rsidRPr="00B30208" w:rsidRDefault="006F19AF" w:rsidP="006F19AF">
      <w:pPr>
        <w:ind w:firstLine="2302"/>
        <w:jc w:val="both"/>
        <w:rPr>
          <w:sz w:val="24"/>
          <w:szCs w:val="24"/>
        </w:rPr>
      </w:pPr>
    </w:p>
    <w:p w:rsidR="006F19AF" w:rsidRPr="00B30208" w:rsidRDefault="006F19AF" w:rsidP="006F19AF">
      <w:pPr>
        <w:ind w:firstLine="2302"/>
        <w:jc w:val="both"/>
      </w:pPr>
      <w:r w:rsidRPr="00B30208">
        <w:rPr>
          <w:sz w:val="24"/>
          <w:szCs w:val="24"/>
        </w:rPr>
        <w:t>Art. 19. O art. 54 da Lei nº 1</w:t>
      </w:r>
      <w:r w:rsidR="00BF4F8E" w:rsidRPr="00B30208">
        <w:rPr>
          <w:sz w:val="24"/>
          <w:szCs w:val="24"/>
        </w:rPr>
        <w:t>2</w:t>
      </w:r>
      <w:r w:rsidRPr="00B30208">
        <w:rPr>
          <w:sz w:val="24"/>
          <w:szCs w:val="24"/>
        </w:rPr>
        <w:t>.305, de 2 de agosto de 2010, passa a vigorar com a seguinte redação:</w:t>
      </w:r>
    </w:p>
    <w:p w:rsidR="00233D16" w:rsidRPr="00B30208" w:rsidRDefault="002A56AB" w:rsidP="00233D16">
      <w:pPr>
        <w:ind w:firstLine="2302"/>
        <w:jc w:val="both"/>
      </w:pPr>
      <w:r w:rsidRPr="00B30208">
        <w:rPr>
          <w:sz w:val="24"/>
          <w:szCs w:val="24"/>
        </w:rPr>
        <w:t xml:space="preserve"> </w:t>
      </w:r>
      <w:r w:rsidR="00233D16" w:rsidRPr="00B30208">
        <w:rPr>
          <w:sz w:val="24"/>
          <w:szCs w:val="24"/>
        </w:rPr>
        <w:t>“Art. 54. A disposição final ambientalmente adequada dos rejeitos deve respeitar o plano de gestão integrada de resíduos sólidos e ser implantada até:</w:t>
      </w:r>
    </w:p>
    <w:p w:rsidR="00233D16" w:rsidRPr="00B30208" w:rsidRDefault="00233D16" w:rsidP="00233D16">
      <w:pPr>
        <w:spacing w:after="200"/>
        <w:ind w:firstLine="1701"/>
        <w:jc w:val="both"/>
      </w:pPr>
      <w:r w:rsidRPr="00B30208">
        <w:rPr>
          <w:sz w:val="24"/>
          <w:szCs w:val="24"/>
        </w:rPr>
        <w:t>I – 2 de agosto de 2023, para Municípios com mais de cem mil habitantes;</w:t>
      </w:r>
    </w:p>
    <w:p w:rsidR="00233D16" w:rsidRPr="00B30208" w:rsidRDefault="00233D16" w:rsidP="00233D16">
      <w:pPr>
        <w:spacing w:after="200"/>
        <w:ind w:firstLine="1701"/>
        <w:jc w:val="both"/>
      </w:pPr>
      <w:r w:rsidRPr="00B30208">
        <w:rPr>
          <w:sz w:val="24"/>
          <w:szCs w:val="24"/>
        </w:rPr>
        <w:t xml:space="preserve">II – 2 de agosto de 2030, para Municípios ou consórcios municipais com até cem mil </w:t>
      </w:r>
      <w:proofErr w:type="gramStart"/>
      <w:r w:rsidRPr="00B30208">
        <w:rPr>
          <w:sz w:val="24"/>
          <w:szCs w:val="24"/>
        </w:rPr>
        <w:t>habitantes.”</w:t>
      </w:r>
      <w:proofErr w:type="gramEnd"/>
      <w:r w:rsidRPr="00B30208">
        <w:rPr>
          <w:sz w:val="24"/>
          <w:szCs w:val="24"/>
        </w:rPr>
        <w:t xml:space="preserve"> (NR)</w:t>
      </w:r>
    </w:p>
    <w:p w:rsidR="00233D16" w:rsidRPr="00B30208" w:rsidRDefault="00233D16" w:rsidP="00233D16">
      <w:pPr>
        <w:ind w:firstLine="2302"/>
        <w:jc w:val="both"/>
      </w:pPr>
    </w:p>
    <w:p w:rsidR="00233D16" w:rsidRPr="00B30208" w:rsidRDefault="00233D16" w:rsidP="00233D16">
      <w:pPr>
        <w:spacing w:after="200"/>
        <w:ind w:firstLine="1701"/>
        <w:jc w:val="both"/>
      </w:pPr>
      <w:r w:rsidRPr="00B30208">
        <w:rPr>
          <w:sz w:val="24"/>
          <w:szCs w:val="24"/>
        </w:rPr>
        <w:t>Art. 20. Esta Lei entra em vigor na data de sua publicação.</w:t>
      </w:r>
    </w:p>
    <w:p w:rsidR="00233D16" w:rsidRPr="00B30208" w:rsidRDefault="00233D16" w:rsidP="00233D16">
      <w:pPr>
        <w:spacing w:line="360" w:lineRule="auto"/>
        <w:jc w:val="both"/>
      </w:pPr>
    </w:p>
    <w:p w:rsidR="00233D16" w:rsidRPr="00B30208" w:rsidRDefault="00233D16" w:rsidP="00233D16">
      <w:pPr>
        <w:spacing w:after="240" w:line="360" w:lineRule="auto"/>
        <w:ind w:firstLine="1701"/>
        <w:jc w:val="both"/>
      </w:pPr>
    </w:p>
    <w:p w:rsidR="00233D16" w:rsidRPr="00B30208" w:rsidRDefault="00233D16" w:rsidP="00233D16">
      <w:pPr>
        <w:spacing w:after="240" w:line="360" w:lineRule="auto"/>
        <w:ind w:firstLine="1701"/>
        <w:jc w:val="both"/>
      </w:pPr>
      <w:r w:rsidRPr="00B30208">
        <w:rPr>
          <w:sz w:val="24"/>
          <w:szCs w:val="24"/>
        </w:rPr>
        <w:t xml:space="preserve">Sala das Sessões, </w:t>
      </w:r>
      <w:r w:rsidR="00B30208" w:rsidRPr="00B30208">
        <w:rPr>
          <w:sz w:val="24"/>
          <w:szCs w:val="24"/>
        </w:rPr>
        <w:t>em 27</w:t>
      </w:r>
      <w:r w:rsidR="00D932DD" w:rsidRPr="00B30208">
        <w:rPr>
          <w:sz w:val="24"/>
          <w:szCs w:val="24"/>
        </w:rPr>
        <w:t xml:space="preserve"> de abril </w:t>
      </w:r>
      <w:r w:rsidRPr="00B30208">
        <w:rPr>
          <w:sz w:val="24"/>
          <w:szCs w:val="24"/>
        </w:rPr>
        <w:t>de 2016.</w:t>
      </w:r>
    </w:p>
    <w:p w:rsidR="00233D16" w:rsidRPr="00B30208" w:rsidRDefault="00233D16" w:rsidP="00233D16">
      <w:pPr>
        <w:spacing w:line="360" w:lineRule="auto"/>
        <w:jc w:val="both"/>
      </w:pPr>
    </w:p>
    <w:p w:rsidR="00233D16" w:rsidRPr="00B30208" w:rsidRDefault="00233D16" w:rsidP="00233D16">
      <w:pPr>
        <w:spacing w:line="360" w:lineRule="auto"/>
        <w:jc w:val="both"/>
      </w:pPr>
    </w:p>
    <w:p w:rsidR="00233D16" w:rsidRPr="00B30208" w:rsidRDefault="00D932DD" w:rsidP="00233D16">
      <w:r w:rsidRPr="00B30208">
        <w:rPr>
          <w:sz w:val="24"/>
          <w:szCs w:val="24"/>
        </w:rPr>
        <w:t xml:space="preserve">Senador Paulo Bauer </w:t>
      </w:r>
    </w:p>
    <w:p w:rsidR="00233D16" w:rsidRPr="00B30208" w:rsidRDefault="00D932DD" w:rsidP="00233D16">
      <w:r w:rsidRPr="00B30208">
        <w:rPr>
          <w:sz w:val="24"/>
          <w:szCs w:val="24"/>
        </w:rPr>
        <w:t>Presidente da Comissão</w:t>
      </w:r>
    </w:p>
    <w:sectPr w:rsidR="00233D16" w:rsidRPr="00B30208">
      <w:headerReference w:type="even" r:id="rId9"/>
      <w:headerReference w:type="default" r:id="rId10"/>
      <w:headerReference w:type="first" r:id="rId11"/>
      <w:footerReference w:type="first" r:id="rId12"/>
      <w:pgSz w:w="11908" w:h="16833"/>
      <w:pgMar w:top="1985" w:right="1701" w:bottom="1134" w:left="1701" w:header="794" w:footer="79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BF6" w:rsidRDefault="004B4BF6">
      <w:pPr>
        <w:spacing w:line="240" w:lineRule="auto"/>
      </w:pPr>
      <w:r>
        <w:separator/>
      </w:r>
    </w:p>
  </w:endnote>
  <w:endnote w:type="continuationSeparator" w:id="0">
    <w:p w:rsidR="004B4BF6" w:rsidRDefault="004B4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AE" w:rsidRDefault="00DD2AAE">
    <w:pPr>
      <w:pStyle w:val="Rodap"/>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BF6" w:rsidRDefault="004B4BF6">
      <w:pPr>
        <w:spacing w:line="240" w:lineRule="auto"/>
      </w:pPr>
      <w:r>
        <w:separator/>
      </w:r>
    </w:p>
  </w:footnote>
  <w:footnote w:type="continuationSeparator" w:id="0">
    <w:p w:rsidR="004B4BF6" w:rsidRDefault="004B4B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AE" w:rsidRDefault="002E19F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2AAE" w:rsidRDefault="00DD2AA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AE" w:rsidRDefault="002E1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right"/>
      <w:rPr>
        <w:rFonts w:ascii="Courier New" w:hAnsi="Courier New"/>
        <w:sz w:val="22"/>
      </w:rPr>
    </w:pPr>
    <w:r>
      <w:rPr>
        <w:rFonts w:ascii="Courier New" w:hAnsi="Courier New"/>
        <w:sz w:val="22"/>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AE" w:rsidRDefault="00DD2AAE">
    <w:pPr>
      <w:pStyle w:val="Cabealh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4BFA"/>
    <w:multiLevelType w:val="multilevel"/>
    <w:tmpl w:val="08F6461C"/>
    <w:lvl w:ilvl="0">
      <w:start w:val="1"/>
      <w:numFmt w:val="bullet"/>
      <w:lvlText w:val="●"/>
      <w:lvlJc w:val="left"/>
      <w:pPr>
        <w:ind w:left="2421" w:firstLine="2061"/>
      </w:pPr>
      <w:rPr>
        <w:rFonts w:ascii="Arial" w:eastAsia="Arial" w:hAnsi="Arial" w:cs="Arial"/>
      </w:rPr>
    </w:lvl>
    <w:lvl w:ilvl="1">
      <w:start w:val="1"/>
      <w:numFmt w:val="bullet"/>
      <w:lvlText w:val="o"/>
      <w:lvlJc w:val="left"/>
      <w:pPr>
        <w:ind w:left="3141" w:firstLine="2781"/>
      </w:pPr>
      <w:rPr>
        <w:rFonts w:ascii="Arial" w:eastAsia="Arial" w:hAnsi="Arial" w:cs="Arial"/>
      </w:rPr>
    </w:lvl>
    <w:lvl w:ilvl="2">
      <w:start w:val="1"/>
      <w:numFmt w:val="bullet"/>
      <w:lvlText w:val="▪"/>
      <w:lvlJc w:val="left"/>
      <w:pPr>
        <w:ind w:left="3861" w:firstLine="3501"/>
      </w:pPr>
      <w:rPr>
        <w:rFonts w:ascii="Arial" w:eastAsia="Arial" w:hAnsi="Arial" w:cs="Arial"/>
      </w:rPr>
    </w:lvl>
    <w:lvl w:ilvl="3">
      <w:start w:val="1"/>
      <w:numFmt w:val="bullet"/>
      <w:lvlText w:val="●"/>
      <w:lvlJc w:val="left"/>
      <w:pPr>
        <w:ind w:left="4581" w:firstLine="4221"/>
      </w:pPr>
      <w:rPr>
        <w:rFonts w:ascii="Arial" w:eastAsia="Arial" w:hAnsi="Arial" w:cs="Arial"/>
      </w:rPr>
    </w:lvl>
    <w:lvl w:ilvl="4">
      <w:start w:val="1"/>
      <w:numFmt w:val="bullet"/>
      <w:lvlText w:val="o"/>
      <w:lvlJc w:val="left"/>
      <w:pPr>
        <w:ind w:left="5301" w:firstLine="4941"/>
      </w:pPr>
      <w:rPr>
        <w:rFonts w:ascii="Arial" w:eastAsia="Arial" w:hAnsi="Arial" w:cs="Arial"/>
      </w:rPr>
    </w:lvl>
    <w:lvl w:ilvl="5">
      <w:start w:val="1"/>
      <w:numFmt w:val="bullet"/>
      <w:lvlText w:val="▪"/>
      <w:lvlJc w:val="left"/>
      <w:pPr>
        <w:ind w:left="6021" w:firstLine="5661"/>
      </w:pPr>
      <w:rPr>
        <w:rFonts w:ascii="Arial" w:eastAsia="Arial" w:hAnsi="Arial" w:cs="Arial"/>
      </w:rPr>
    </w:lvl>
    <w:lvl w:ilvl="6">
      <w:start w:val="1"/>
      <w:numFmt w:val="bullet"/>
      <w:lvlText w:val="●"/>
      <w:lvlJc w:val="left"/>
      <w:pPr>
        <w:ind w:left="6741" w:firstLine="6381"/>
      </w:pPr>
      <w:rPr>
        <w:rFonts w:ascii="Arial" w:eastAsia="Arial" w:hAnsi="Arial" w:cs="Arial"/>
      </w:rPr>
    </w:lvl>
    <w:lvl w:ilvl="7">
      <w:start w:val="1"/>
      <w:numFmt w:val="bullet"/>
      <w:lvlText w:val="o"/>
      <w:lvlJc w:val="left"/>
      <w:pPr>
        <w:ind w:left="7461" w:firstLine="7101"/>
      </w:pPr>
      <w:rPr>
        <w:rFonts w:ascii="Arial" w:eastAsia="Arial" w:hAnsi="Arial" w:cs="Arial"/>
      </w:rPr>
    </w:lvl>
    <w:lvl w:ilvl="8">
      <w:start w:val="1"/>
      <w:numFmt w:val="bullet"/>
      <w:lvlText w:val="▪"/>
      <w:lvlJc w:val="left"/>
      <w:pPr>
        <w:ind w:left="8181" w:firstLine="7821"/>
      </w:pPr>
      <w:rPr>
        <w:rFonts w:ascii="Arial" w:eastAsia="Arial" w:hAnsi="Arial" w:cs="Arial"/>
      </w:rPr>
    </w:lvl>
  </w:abstractNum>
  <w:abstractNum w:abstractNumId="1" w15:restartNumberingAfterBreak="0">
    <w:nsid w:val="17EA2E4C"/>
    <w:multiLevelType w:val="multilevel"/>
    <w:tmpl w:val="92BA70D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15:restartNumberingAfterBreak="0">
    <w:nsid w:val="38D6378A"/>
    <w:multiLevelType w:val="multilevel"/>
    <w:tmpl w:val="C68203C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15:restartNumberingAfterBreak="0">
    <w:nsid w:val="726C62EF"/>
    <w:multiLevelType w:val="singleLevel"/>
    <w:tmpl w:val="19007922"/>
    <w:lvl w:ilvl="0">
      <w:start w:val="1"/>
      <w:numFmt w:val="ordinal"/>
      <w:pStyle w:val="Artigo"/>
      <w:lvlText w:val="Art. %1 "/>
      <w:lvlJc w:val="left"/>
      <w:pPr>
        <w:tabs>
          <w:tab w:val="num" w:pos="1440"/>
        </w:tabs>
        <w:ind w:left="360" w:hanging="360"/>
      </w:pPr>
    </w:lvl>
  </w:abstractNum>
  <w:abstractNum w:abstractNumId="4" w15:restartNumberingAfterBreak="0">
    <w:nsid w:val="763B7734"/>
    <w:multiLevelType w:val="multilevel"/>
    <w:tmpl w:val="8B8E5DB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15:restartNumberingAfterBreak="0">
    <w:nsid w:val="78290F76"/>
    <w:multiLevelType w:val="multilevel"/>
    <w:tmpl w:val="913E667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9C"/>
    <w:rsid w:val="000011A2"/>
    <w:rsid w:val="00096A99"/>
    <w:rsid w:val="000A2EDC"/>
    <w:rsid w:val="000A6627"/>
    <w:rsid w:val="000B3DDF"/>
    <w:rsid w:val="000F1621"/>
    <w:rsid w:val="001222B4"/>
    <w:rsid w:val="00136508"/>
    <w:rsid w:val="001412FB"/>
    <w:rsid w:val="001B4E02"/>
    <w:rsid w:val="001F60DF"/>
    <w:rsid w:val="00201164"/>
    <w:rsid w:val="00206493"/>
    <w:rsid w:val="00207BD7"/>
    <w:rsid w:val="00220B14"/>
    <w:rsid w:val="0022115B"/>
    <w:rsid w:val="00233D16"/>
    <w:rsid w:val="0023634F"/>
    <w:rsid w:val="0025170C"/>
    <w:rsid w:val="002A56AB"/>
    <w:rsid w:val="002E19F5"/>
    <w:rsid w:val="002F24E2"/>
    <w:rsid w:val="002F5BAF"/>
    <w:rsid w:val="00304A5A"/>
    <w:rsid w:val="0032459C"/>
    <w:rsid w:val="00326705"/>
    <w:rsid w:val="00365C92"/>
    <w:rsid w:val="003A0765"/>
    <w:rsid w:val="003E5D27"/>
    <w:rsid w:val="0044471F"/>
    <w:rsid w:val="0044772D"/>
    <w:rsid w:val="004A0261"/>
    <w:rsid w:val="004B4BF6"/>
    <w:rsid w:val="004B589C"/>
    <w:rsid w:val="00517AC3"/>
    <w:rsid w:val="00550DE5"/>
    <w:rsid w:val="005935C4"/>
    <w:rsid w:val="005B5895"/>
    <w:rsid w:val="005C6635"/>
    <w:rsid w:val="005D6982"/>
    <w:rsid w:val="00607C9C"/>
    <w:rsid w:val="00622B43"/>
    <w:rsid w:val="00634649"/>
    <w:rsid w:val="00645A39"/>
    <w:rsid w:val="00646AB2"/>
    <w:rsid w:val="00663309"/>
    <w:rsid w:val="00667519"/>
    <w:rsid w:val="00694964"/>
    <w:rsid w:val="006A55B8"/>
    <w:rsid w:val="006B73DF"/>
    <w:rsid w:val="006D28AA"/>
    <w:rsid w:val="006F19AF"/>
    <w:rsid w:val="00702CF2"/>
    <w:rsid w:val="0070614E"/>
    <w:rsid w:val="00712431"/>
    <w:rsid w:val="0075336A"/>
    <w:rsid w:val="007A7F91"/>
    <w:rsid w:val="007F6AB5"/>
    <w:rsid w:val="008552B6"/>
    <w:rsid w:val="00861E79"/>
    <w:rsid w:val="0086550C"/>
    <w:rsid w:val="0087011B"/>
    <w:rsid w:val="008A5636"/>
    <w:rsid w:val="008D32A1"/>
    <w:rsid w:val="00920A55"/>
    <w:rsid w:val="009468E1"/>
    <w:rsid w:val="009D25C8"/>
    <w:rsid w:val="009D5854"/>
    <w:rsid w:val="009E1AA8"/>
    <w:rsid w:val="009F37D6"/>
    <w:rsid w:val="00A20B8E"/>
    <w:rsid w:val="00A225EC"/>
    <w:rsid w:val="00A63637"/>
    <w:rsid w:val="00A878CD"/>
    <w:rsid w:val="00A95938"/>
    <w:rsid w:val="00AC54E2"/>
    <w:rsid w:val="00AF3719"/>
    <w:rsid w:val="00B30208"/>
    <w:rsid w:val="00B76A8F"/>
    <w:rsid w:val="00B80628"/>
    <w:rsid w:val="00B90EF7"/>
    <w:rsid w:val="00B92C00"/>
    <w:rsid w:val="00B940C5"/>
    <w:rsid w:val="00BD214C"/>
    <w:rsid w:val="00BF4F8E"/>
    <w:rsid w:val="00C16071"/>
    <w:rsid w:val="00C5328C"/>
    <w:rsid w:val="00C628E1"/>
    <w:rsid w:val="00C71613"/>
    <w:rsid w:val="00C90415"/>
    <w:rsid w:val="00CB0A38"/>
    <w:rsid w:val="00CB3FE1"/>
    <w:rsid w:val="00D029BD"/>
    <w:rsid w:val="00D473AA"/>
    <w:rsid w:val="00D830FC"/>
    <w:rsid w:val="00D86A00"/>
    <w:rsid w:val="00D90D2B"/>
    <w:rsid w:val="00D932DD"/>
    <w:rsid w:val="00DD2AAE"/>
    <w:rsid w:val="00DD747D"/>
    <w:rsid w:val="00E00DAE"/>
    <w:rsid w:val="00E43F17"/>
    <w:rsid w:val="00E45CC5"/>
    <w:rsid w:val="00E521D5"/>
    <w:rsid w:val="00E638E4"/>
    <w:rsid w:val="00E660DC"/>
    <w:rsid w:val="00E860CE"/>
    <w:rsid w:val="00EB6EA4"/>
    <w:rsid w:val="00EB7635"/>
    <w:rsid w:val="00F10D9C"/>
    <w:rsid w:val="00F248F9"/>
    <w:rsid w:val="00F829D2"/>
    <w:rsid w:val="00FA1CAE"/>
    <w:rsid w:val="00FB74A5"/>
    <w:rsid w:val="00FC0607"/>
    <w:rsid w:val="00FD05D9"/>
    <w:rsid w:val="00FD4E97"/>
    <w:rsid w:val="00FE7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A77818-5336-429C-87A0-7BEF37FA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360" w:lineRule="exact"/>
      <w:jc w:val="center"/>
    </w:pPr>
    <w:rPr>
      <w:rFonts w:ascii="Arial" w:hAnsi="Arial"/>
      <w:snapToGrid w:val="0"/>
      <w:color w:val="000000"/>
      <w:sz w:val="28"/>
    </w:rPr>
  </w:style>
  <w:style w:type="paragraph" w:styleId="Ttulo1">
    <w:name w:val="heading 1"/>
    <w:basedOn w:val="Normal"/>
    <w:next w:val="Normal"/>
    <w:qFormat/>
    <w:pPr>
      <w:keepNext/>
      <w:spacing w:before="240" w:after="60"/>
      <w:outlineLvl w:val="0"/>
    </w:pPr>
    <w:rPr>
      <w:b/>
      <w:kern w:val="28"/>
    </w:rPr>
  </w:style>
  <w:style w:type="paragraph" w:styleId="Ttulo2">
    <w:name w:val="heading 2"/>
    <w:basedOn w:val="Normal"/>
    <w:next w:val="Normal"/>
    <w:autoRedefine/>
    <w:qFormat/>
    <w:pPr>
      <w:keepNext/>
      <w:spacing w:before="1786" w:after="60"/>
      <w:outlineLvl w:val="1"/>
    </w:pPr>
    <w:rPr>
      <w:b/>
      <w:caps/>
    </w:rPr>
  </w:style>
  <w:style w:type="paragraph" w:styleId="Ttulo3">
    <w:name w:val="heading 3"/>
    <w:basedOn w:val="Normal"/>
    <w:next w:val="Normal"/>
    <w:autoRedefine/>
    <w:qFormat/>
    <w:pPr>
      <w:keepNext/>
      <w:spacing w:after="754"/>
      <w:outlineLvl w:val="2"/>
    </w:pPr>
    <w:rPr>
      <w:b/>
      <w: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corpopadro">
    <w:name w:val="corpo padrão"/>
    <w:basedOn w:val="Recuodecorpodetexto"/>
    <w:pPr>
      <w:spacing w:after="200"/>
      <w:ind w:left="0" w:firstLine="2302"/>
      <w:jc w:val="both"/>
    </w:pPr>
    <w:rPr>
      <w:sz w:val="24"/>
    </w:rPr>
  </w:style>
  <w:style w:type="paragraph" w:styleId="Recuodecorpodetexto">
    <w:name w:val="Body Text Indent"/>
    <w:basedOn w:val="Normal"/>
    <w:semiHidden/>
    <w:pPr>
      <w:spacing w:after="120"/>
      <w:ind w:left="283"/>
    </w:pPr>
  </w:style>
  <w:style w:type="paragraph" w:customStyle="1" w:styleId="Artigo">
    <w:name w:val="Artigo"/>
    <w:basedOn w:val="Normal"/>
    <w:pPr>
      <w:numPr>
        <w:numId w:val="1"/>
      </w:numPr>
      <w:tabs>
        <w:tab w:val="clear" w:pos="1440"/>
      </w:tabs>
      <w:spacing w:after="200"/>
      <w:ind w:left="357" w:firstLine="1911"/>
      <w:jc w:val="both"/>
    </w:pPr>
    <w:rPr>
      <w:sz w:val="24"/>
    </w:rPr>
  </w:style>
  <w:style w:type="paragraph" w:customStyle="1" w:styleId="TranscrioDoutrina">
    <w:name w:val="Transcrição Doutrina"/>
    <w:basedOn w:val="CorpoPadro0"/>
    <w:pPr>
      <w:spacing w:after="100" w:line="280" w:lineRule="exact"/>
      <w:ind w:left="2302" w:firstLine="567"/>
    </w:pPr>
    <w:rPr>
      <w:i/>
    </w:rPr>
  </w:style>
  <w:style w:type="paragraph" w:customStyle="1" w:styleId="CORPO">
    <w:name w:val="CORPO"/>
    <w:basedOn w:val="Normal"/>
    <w:next w:val="Artigo"/>
    <w:pPr>
      <w:spacing w:after="714"/>
      <w:ind w:firstLine="2302"/>
      <w:jc w:val="both"/>
    </w:pPr>
    <w:rPr>
      <w:sz w:val="24"/>
    </w:rPr>
  </w:style>
  <w:style w:type="paragraph" w:customStyle="1" w:styleId="CorpoPadro0">
    <w:name w:val="Corpo Padrão"/>
    <w:basedOn w:val="Normal"/>
    <w:pPr>
      <w:spacing w:after="200"/>
      <w:ind w:firstLine="2302"/>
      <w:jc w:val="both"/>
    </w:pPr>
    <w:rPr>
      <w:sz w:val="24"/>
    </w:rPr>
  </w:style>
  <w:style w:type="paragraph" w:customStyle="1" w:styleId="data">
    <w:name w:val="data"/>
    <w:basedOn w:val="Normal"/>
    <w:pPr>
      <w:keepNext/>
      <w:spacing w:before="554" w:after="1072"/>
      <w:ind w:firstLine="2302"/>
      <w:jc w:val="both"/>
    </w:pPr>
    <w:rPr>
      <w:sz w:val="24"/>
    </w:rPr>
  </w:style>
  <w:style w:type="paragraph" w:customStyle="1" w:styleId="Ementa">
    <w:name w:val="Ementa"/>
    <w:basedOn w:val="Normal"/>
    <w:pPr>
      <w:spacing w:before="1072" w:after="1072" w:line="240" w:lineRule="exact"/>
      <w:ind w:left="3742" w:firstLine="720"/>
      <w:jc w:val="both"/>
    </w:pPr>
    <w:rPr>
      <w:sz w:val="24"/>
    </w:rPr>
  </w:style>
  <w:style w:type="paragraph" w:customStyle="1" w:styleId="TranscrioLei">
    <w:name w:val="Transcrição Lei"/>
    <w:basedOn w:val="Normal"/>
    <w:pPr>
      <w:widowControl/>
      <w:spacing w:after="100" w:line="280" w:lineRule="exact"/>
      <w:ind w:left="2302"/>
      <w:jc w:val="both"/>
    </w:pPr>
    <w:rPr>
      <w:noProof/>
      <w:sz w:val="24"/>
    </w:rPr>
  </w:style>
  <w:style w:type="paragraph" w:styleId="Textodenotaderodap">
    <w:name w:val="footnote text"/>
    <w:basedOn w:val="Normal"/>
    <w:link w:val="TextodenotaderodapChar"/>
    <w:uiPriority w:val="99"/>
    <w:rPr>
      <w:sz w:val="20"/>
    </w:rPr>
  </w:style>
  <w:style w:type="character" w:styleId="Refdenotaderodap">
    <w:name w:val="footnote reference"/>
    <w:basedOn w:val="Fontepargpadro"/>
    <w:uiPriority w:val="99"/>
    <w:rPr>
      <w:vertAlign w:val="superscript"/>
    </w:rPr>
  </w:style>
  <w:style w:type="paragraph" w:styleId="Ttulo">
    <w:name w:val="Title"/>
    <w:basedOn w:val="Normal"/>
    <w:next w:val="Normal"/>
    <w:link w:val="TtuloChar"/>
    <w:rsid w:val="00233D16"/>
    <w:pPr>
      <w:keepNext/>
      <w:keepLines/>
      <w:widowControl/>
      <w:spacing w:before="720" w:after="120" w:line="240" w:lineRule="auto"/>
    </w:pPr>
    <w:rPr>
      <w:rFonts w:eastAsia="Arial" w:cs="Arial"/>
      <w:b/>
      <w:snapToGrid/>
      <w:szCs w:val="28"/>
    </w:rPr>
  </w:style>
  <w:style w:type="character" w:customStyle="1" w:styleId="TtuloChar">
    <w:name w:val="Título Char"/>
    <w:basedOn w:val="Fontepargpadro"/>
    <w:link w:val="Ttulo"/>
    <w:rsid w:val="00233D16"/>
    <w:rPr>
      <w:rFonts w:ascii="Arial" w:eastAsia="Arial" w:hAnsi="Arial" w:cs="Arial"/>
      <w:b/>
      <w:color w:val="000000"/>
      <w:sz w:val="28"/>
      <w:szCs w:val="28"/>
    </w:rPr>
  </w:style>
  <w:style w:type="character" w:styleId="Hyperlink">
    <w:name w:val="Hyperlink"/>
    <w:basedOn w:val="Fontepargpadro"/>
    <w:uiPriority w:val="99"/>
    <w:unhideWhenUsed/>
    <w:rsid w:val="00233D16"/>
    <w:rPr>
      <w:color w:val="0000FF" w:themeColor="hyperlink"/>
      <w:u w:val="single"/>
    </w:rPr>
  </w:style>
  <w:style w:type="character" w:customStyle="1" w:styleId="apple-converted-space">
    <w:name w:val="apple-converted-space"/>
    <w:basedOn w:val="Fontepargpadro"/>
    <w:rsid w:val="00233D16"/>
  </w:style>
  <w:style w:type="character" w:customStyle="1" w:styleId="TextodenotaderodapChar">
    <w:name w:val="Texto de nota de rodapé Char"/>
    <w:basedOn w:val="Fontepargpadro"/>
    <w:link w:val="Textodenotaderodap"/>
    <w:uiPriority w:val="99"/>
    <w:rsid w:val="00233D16"/>
    <w:rPr>
      <w:rFonts w:ascii="Arial" w:hAnsi="Arial"/>
      <w:snapToGrid w:val="0"/>
      <w:color w:val="000000"/>
    </w:rPr>
  </w:style>
  <w:style w:type="paragraph" w:styleId="Textodebalo">
    <w:name w:val="Balloon Text"/>
    <w:basedOn w:val="Normal"/>
    <w:link w:val="TextodebaloChar"/>
    <w:uiPriority w:val="99"/>
    <w:semiHidden/>
    <w:unhideWhenUsed/>
    <w:rsid w:val="00550DE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0DE5"/>
    <w:rPr>
      <w:rFonts w:ascii="Segoe UI" w:hAnsi="Segoe UI" w:cs="Segoe UI"/>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14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5695\AppData\Local\Microsoft\Windows\Temporary%20Internet%20Files\Content.IE5\FJ2KFGNP\Declara&#231;&#227;o%20de%20Vot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FB86-95E4-4B25-8417-F3D93AAB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Declaração de Voto.dotx</Template>
  <TotalTime>11</TotalTime>
  <Pages>8</Pages>
  <Words>2175</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COMISSÃO</vt:lpstr>
    </vt:vector>
  </TitlesOfParts>
  <Company>Camara dos Deputados</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dc:title>
  <dc:subject>DV - Declaração de voto</dc:subject>
  <dc:creator>Mariza Mendes Lacerda Shaw</dc:creator>
  <cp:lastModifiedBy>Clarissa Kiwa Scarton Hayashi</cp:lastModifiedBy>
  <cp:revision>9</cp:revision>
  <cp:lastPrinted>2016-04-27T16:58:00Z</cp:lastPrinted>
  <dcterms:created xsi:type="dcterms:W3CDTF">2016-04-27T15:30:00Z</dcterms:created>
  <dcterms:modified xsi:type="dcterms:W3CDTF">2016-04-28T17:30:00Z</dcterms:modified>
</cp:coreProperties>
</file>