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B" w:rsidRDefault="00C218D0" w:rsidP="00A85ECB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 w:rsidR="00A85ECB">
        <w:t xml:space="preserve"> Nº       , DE 2016</w:t>
      </w:r>
    </w:p>
    <w:p w:rsidR="00A85ECB" w:rsidRDefault="00C218D0" w:rsidP="00A85ECB">
      <w:pPr>
        <w:pStyle w:val="03-Ementa-CLG"/>
      </w:pPr>
      <w:r>
        <w:t xml:space="preserve">Da COMISSAO MISTA DA MEDIDA PROVISORIA Nº 704, DE 2015, sobre a Medida Provisória nº 704, de 2015, que </w:t>
      </w:r>
      <w:r>
        <w:rPr>
          <w:i/>
        </w:rPr>
        <w:t>dispõe sobre fontes de recursos para cobertura de despesas primárias obrigatórias e para pagamento da Dívida Pública Federal</w:t>
      </w:r>
      <w:r>
        <w:t>.</w:t>
      </w:r>
    </w:p>
    <w:p w:rsidR="00A85ECB" w:rsidRDefault="00C218D0" w:rsidP="00A85ECB">
      <w:pPr>
        <w:pStyle w:val="04-Relatoria-CLG"/>
      </w:pPr>
      <w:r>
        <w:t xml:space="preserve">Relator: Senador </w:t>
      </w:r>
      <w:r>
        <w:rPr>
          <w:b/>
          <w:caps/>
        </w:rPr>
        <w:t>Benedito de Lira</w:t>
      </w:r>
    </w:p>
    <w:p w:rsidR="00A85ECB" w:rsidRDefault="00A85ECB" w:rsidP="00A85ECB">
      <w:pPr>
        <w:pStyle w:val="05-Subttulo-CLG"/>
      </w:pPr>
      <w:r>
        <w:t>I – RELATÓRIO</w:t>
      </w:r>
    </w:p>
    <w:p w:rsidR="007E06F8" w:rsidRDefault="007E06F8" w:rsidP="00A85ECB">
      <w:pPr>
        <w:pStyle w:val="06-Pargrafodetexto-CLG"/>
      </w:pPr>
      <w:r w:rsidRPr="007E06F8">
        <w:t>Vem ao exame desta Comissão Mista, para emissão de parecer prévio à apreciação plenária pelas Casas do Congresso Nacional, a Medida Provisória (MPV) nº</w:t>
      </w:r>
      <w:r>
        <w:t xml:space="preserve"> </w:t>
      </w:r>
      <w:r w:rsidR="001F7966">
        <w:t>704</w:t>
      </w:r>
      <w:r>
        <w:t xml:space="preserve">, de 2015, </w:t>
      </w:r>
      <w:r w:rsidRPr="007E06F8">
        <w:t>em obediência ao § 9º do art. 62 da Constituição Federal (CF).</w:t>
      </w:r>
    </w:p>
    <w:p w:rsidR="007E06F8" w:rsidRDefault="007E06F8" w:rsidP="00A85ECB">
      <w:pPr>
        <w:pStyle w:val="06-Pargrafodetexto-CLG"/>
      </w:pPr>
      <w:r>
        <w:t xml:space="preserve">A Medida Provisória </w:t>
      </w:r>
      <w:r w:rsidR="0081658A">
        <w:t xml:space="preserve">em análise </w:t>
      </w:r>
      <w:r w:rsidRPr="007E06F8">
        <w:t>dispõe sobre fontes de recursos para cobertura de despesas primárias obrigatórias e para pagamento da Dívida Pública Federal.</w:t>
      </w:r>
    </w:p>
    <w:p w:rsidR="004E2C4B" w:rsidRDefault="004E2C4B" w:rsidP="004E2C4B">
      <w:pPr>
        <w:pStyle w:val="06-Pargrafodetexto-CLG"/>
      </w:pPr>
      <w:r>
        <w:t>No alcance do primeiro objetivo, o art. 1</w:t>
      </w:r>
      <w:r w:rsidRPr="007E06F8">
        <w:t>º</w:t>
      </w:r>
      <w:r w:rsidR="0081658A">
        <w:t xml:space="preserve"> da Medida </w:t>
      </w:r>
      <w:r>
        <w:t>determina que o superávit financeiro das fontes de recursos decorrentes de vinculação legal existentes no Tesouro Nacional em 31 de dezembro de 2014 poderá ser destinado à cobertura de despesas primári</w:t>
      </w:r>
      <w:r w:rsidR="0081658A">
        <w:t>as obrigatórias no exercício de </w:t>
      </w:r>
      <w:r>
        <w:t>2015.</w:t>
      </w:r>
    </w:p>
    <w:p w:rsidR="007E06F8" w:rsidRDefault="004E2C4B" w:rsidP="004E2C4B">
      <w:pPr>
        <w:pStyle w:val="06-Pargrafodetexto-CLG"/>
      </w:pPr>
      <w:r>
        <w:lastRenderedPageBreak/>
        <w:t xml:space="preserve">O parágrafo único deste artigo </w:t>
      </w:r>
      <w:r w:rsidRPr="004E2C4B">
        <w:t>excepcionaliza</w:t>
      </w:r>
      <w:r>
        <w:t xml:space="preserve"> as fontes de recursos decorrentes de vinculação constitucional e de repartição de receitas a Estados e Municípios.</w:t>
      </w:r>
    </w:p>
    <w:p w:rsidR="004E2C4B" w:rsidRDefault="004E2C4B" w:rsidP="004E2C4B">
      <w:pPr>
        <w:pStyle w:val="06-Pargrafodetexto-CLG"/>
      </w:pPr>
      <w:r>
        <w:t>Quanto ao segundo objetivo, o art. 2</w:t>
      </w:r>
      <w:r w:rsidRPr="007E06F8">
        <w:t>º</w:t>
      </w:r>
      <w:r>
        <w:t xml:space="preserve"> da MPV</w:t>
      </w:r>
      <w:r w:rsidRPr="004E2C4B">
        <w:t xml:space="preserve"> </w:t>
      </w:r>
      <w:r>
        <w:t>n</w:t>
      </w:r>
      <w:r w:rsidRPr="007E06F8">
        <w:t>º</w:t>
      </w:r>
      <w:r>
        <w:t xml:space="preserve"> </w:t>
      </w:r>
      <w:r w:rsidR="001F7966">
        <w:t>704</w:t>
      </w:r>
      <w:r>
        <w:t xml:space="preserve">, de 2015, determina que </w:t>
      </w:r>
      <w:r w:rsidRPr="004E2C4B">
        <w:t>os valores pagos pelo Banco Nacional de Desenvolvimento Econômico e Social (BNDES) à União, referentes às concessões de crédito realizadas por força de lei ou medida provisória, serão destinados exclusivamente ao pagamento da Dívida Pública Federal</w:t>
      </w:r>
      <w:r>
        <w:t>.</w:t>
      </w:r>
    </w:p>
    <w:p w:rsidR="004E2C4B" w:rsidRDefault="004E2C4B" w:rsidP="004E2C4B">
      <w:pPr>
        <w:pStyle w:val="06-Pargrafodetexto-CLG"/>
      </w:pPr>
      <w:r>
        <w:t>O art. 3</w:t>
      </w:r>
      <w:r w:rsidRPr="007E06F8">
        <w:t>º</w:t>
      </w:r>
      <w:r>
        <w:t xml:space="preserve"> contém a cláusula de vigência, determinan</w:t>
      </w:r>
      <w:r w:rsidR="00FF7FB7">
        <w:t>do que a medida provisória entre</w:t>
      </w:r>
      <w:r>
        <w:t xml:space="preserve"> em vigor na data de sua publicação.</w:t>
      </w:r>
    </w:p>
    <w:p w:rsidR="00707653" w:rsidRDefault="00736D7E" w:rsidP="004E2C4B">
      <w:pPr>
        <w:pStyle w:val="06-Pargrafodetexto-CLG"/>
      </w:pPr>
      <w:r w:rsidRPr="00736D7E">
        <w:t>Encerrado o prazo regimental, foram apresentadas dez emendas</w:t>
      </w:r>
      <w:r w:rsidR="00707653">
        <w:t xml:space="preserve">, </w:t>
      </w:r>
      <w:r w:rsidR="00B62EAA" w:rsidRPr="00B62EAA">
        <w:t>de autoria do Deputado Otavio Leite</w:t>
      </w:r>
      <w:r w:rsidR="00B62EAA">
        <w:t>, emenda</w:t>
      </w:r>
      <w:r w:rsidR="00B62EAA" w:rsidRPr="00B62EAA">
        <w:t xml:space="preserve"> 001; Deputado Samuel Moreira</w:t>
      </w:r>
      <w:r w:rsidR="00B62EAA">
        <w:t>,</w:t>
      </w:r>
      <w:r w:rsidR="00B62EAA" w:rsidRPr="00B62EAA">
        <w:t xml:space="preserve"> </w:t>
      </w:r>
      <w:r w:rsidR="00B62EAA">
        <w:t>emenda</w:t>
      </w:r>
      <w:r w:rsidR="00B62EAA" w:rsidRPr="00B62EAA">
        <w:t xml:space="preserve"> 002; Senador Lasier Martins</w:t>
      </w:r>
      <w:r w:rsidR="00B62EAA">
        <w:t>,</w:t>
      </w:r>
      <w:r w:rsidR="00B62EAA" w:rsidRPr="00B62EAA">
        <w:t xml:space="preserve"> </w:t>
      </w:r>
      <w:r w:rsidR="00B62EAA">
        <w:t>emenda</w:t>
      </w:r>
      <w:r w:rsidR="00B62EAA" w:rsidRPr="00B62EAA">
        <w:t xml:space="preserve"> 003; Deputado Izalci</w:t>
      </w:r>
      <w:r w:rsidR="00B62EAA">
        <w:t>,</w:t>
      </w:r>
      <w:r w:rsidR="00B62EAA" w:rsidRPr="00B62EAA">
        <w:t xml:space="preserve"> </w:t>
      </w:r>
      <w:r w:rsidR="00B62EAA">
        <w:t>emenda</w:t>
      </w:r>
      <w:r w:rsidR="00B62EAA" w:rsidRPr="00B62EAA">
        <w:t xml:space="preserve"> 004; Senador Tasso Jereissati</w:t>
      </w:r>
      <w:r w:rsidR="00B62EAA">
        <w:t>,</w:t>
      </w:r>
      <w:r w:rsidR="00B62EAA" w:rsidRPr="00B62EAA">
        <w:t xml:space="preserve"> </w:t>
      </w:r>
      <w:r w:rsidR="00B62EAA">
        <w:t>emendas</w:t>
      </w:r>
      <w:r w:rsidR="00B62EAA" w:rsidRPr="00B62EAA">
        <w:t xml:space="preserve"> 005</w:t>
      </w:r>
      <w:r w:rsidR="00B62EAA">
        <w:t xml:space="preserve"> a </w:t>
      </w:r>
      <w:r w:rsidR="00B62EAA" w:rsidRPr="00B62EAA">
        <w:t xml:space="preserve">009; </w:t>
      </w:r>
      <w:r w:rsidR="00B62EAA">
        <w:t xml:space="preserve">e </w:t>
      </w:r>
      <w:r w:rsidR="00B62EAA" w:rsidRPr="00B62EAA">
        <w:t>Senador Cristovam Buarque</w:t>
      </w:r>
      <w:r w:rsidR="00B62EAA">
        <w:t>, emenda</w:t>
      </w:r>
      <w:r w:rsidR="00B62EAA" w:rsidRPr="00B62EAA">
        <w:t xml:space="preserve"> 010</w:t>
      </w:r>
      <w:r w:rsidR="00B62EAA">
        <w:t>.</w:t>
      </w:r>
    </w:p>
    <w:p w:rsidR="00947405" w:rsidRDefault="00947405" w:rsidP="004E2C4B">
      <w:pPr>
        <w:pStyle w:val="06-Pargrafodetexto-CLG"/>
      </w:pPr>
      <w:r>
        <w:t xml:space="preserve">Em 12 de fevereiro de 2016, em atendimento </w:t>
      </w:r>
      <w:r w:rsidRPr="00947405">
        <w:t>ao disposto no artigo 19, da Resolução nº 1/2002-CN</w:t>
      </w:r>
      <w:r>
        <w:t>, foi a</w:t>
      </w:r>
      <w:r w:rsidRPr="00947405">
        <w:t>nexada</w:t>
      </w:r>
      <w:r>
        <w:t xml:space="preserve"> aos autos, a</w:t>
      </w:r>
      <w:r w:rsidRPr="00947405">
        <w:t xml:space="preserve"> Nota Técnica </w:t>
      </w:r>
      <w:r w:rsidR="00307CF0">
        <w:t xml:space="preserve">de </w:t>
      </w:r>
      <w:r w:rsidR="001A0292" w:rsidRPr="001A0292">
        <w:t xml:space="preserve">Adequação Orçamentária e </w:t>
      </w:r>
      <w:r w:rsidR="00307CF0">
        <w:t xml:space="preserve">Financeira </w:t>
      </w:r>
      <w:r w:rsidRPr="00947405">
        <w:t>nº 2/2016, da Consultoria de Orçamentos, Fiscalização e Co</w:t>
      </w:r>
      <w:r>
        <w:t xml:space="preserve">ntrole do Senado Federal, contendo subsídios para </w:t>
      </w:r>
      <w:r w:rsidR="00307CF0">
        <w:t xml:space="preserve">a </w:t>
      </w:r>
      <w:r>
        <w:t>análise da Medida</w:t>
      </w:r>
      <w:r w:rsidRPr="00947405">
        <w:t>.</w:t>
      </w:r>
    </w:p>
    <w:p w:rsidR="00B62EAA" w:rsidRDefault="00B62EAA" w:rsidP="004E2C4B">
      <w:pPr>
        <w:pStyle w:val="06-Pargrafodetexto-CLG"/>
      </w:pPr>
      <w:r>
        <w:t>Em 24 de fevereiro de 2016 foi instalada esta Comissão Mista e</w:t>
      </w:r>
      <w:r w:rsidR="001357F9">
        <w:t>,</w:t>
      </w:r>
      <w:r>
        <w:t xml:space="preserve"> em 04 de abril de 2016, fui designado relator da matéria.</w:t>
      </w:r>
    </w:p>
    <w:p w:rsidR="00A85ECB" w:rsidRPr="003311AC" w:rsidRDefault="00A85ECB" w:rsidP="00A85ECB">
      <w:pPr>
        <w:pStyle w:val="06-Pargrafodetexto-CLG"/>
      </w:pPr>
    </w:p>
    <w:p w:rsidR="00A85ECB" w:rsidRPr="005523B9" w:rsidRDefault="00A85ECB" w:rsidP="00A85ECB">
      <w:pPr>
        <w:pStyle w:val="05-Subttulo-CLG"/>
      </w:pPr>
      <w:r w:rsidRPr="005523B9">
        <w:t>II – ANÁLISE</w:t>
      </w:r>
    </w:p>
    <w:p w:rsidR="00B62EAA" w:rsidRDefault="000A450F" w:rsidP="00A85ECB">
      <w:pPr>
        <w:pStyle w:val="06-Pargrafodetexto-CLG"/>
      </w:pPr>
      <w:r>
        <w:t xml:space="preserve">Nos termos da </w:t>
      </w:r>
      <w:r w:rsidRPr="000A450F">
        <w:t xml:space="preserve">Resolução nº 1/2002-CN, </w:t>
      </w:r>
      <w:r>
        <w:t xml:space="preserve">compete a esta </w:t>
      </w:r>
      <w:r w:rsidRPr="000A450F">
        <w:t>Comissão emitir parecer</w:t>
      </w:r>
      <w:r>
        <w:t xml:space="preserve"> sobre </w:t>
      </w:r>
      <w:r w:rsidRPr="000A450F">
        <w:t>os aspectos constitucionais da Medida Provisória, incluindo os pressupostos de relevância e urgência, antes d</w:t>
      </w:r>
      <w:r w:rsidR="001357F9">
        <w:t xml:space="preserve">e </w:t>
      </w:r>
      <w:r w:rsidRPr="000A450F">
        <w:t xml:space="preserve">a </w:t>
      </w:r>
      <w:r w:rsidRPr="000A450F">
        <w:lastRenderedPageBreak/>
        <w:t>matéria ser submetida aos Plenários da Câmara do</w:t>
      </w:r>
      <w:r>
        <w:t>s Deputados e do Senado Federal</w:t>
      </w:r>
      <w:r w:rsidRPr="000A450F">
        <w:t>.</w:t>
      </w:r>
    </w:p>
    <w:p w:rsidR="000C1905" w:rsidRDefault="000C1905" w:rsidP="000C1905">
      <w:pPr>
        <w:pStyle w:val="06-Pargrafodetexto-CLG"/>
      </w:pPr>
      <w:r>
        <w:t>No que concerne à limitação material, os temas tratados na Medida Provisória em análise não se encontram entre aqueles vedados pelo art. 62, § 1º, da Constituição Federal.</w:t>
      </w:r>
    </w:p>
    <w:p w:rsidR="000C1905" w:rsidRDefault="000C1905" w:rsidP="000C1905">
      <w:pPr>
        <w:pStyle w:val="06-Pargrafodetexto-CLG"/>
      </w:pPr>
      <w:r>
        <w:t xml:space="preserve">Quanto à relevância, de acordo com </w:t>
      </w:r>
      <w:r w:rsidRPr="000C1905">
        <w:t xml:space="preserve">a Exposição de Motivos Interministerial (EMI) n° 233, de 23 de dezembro de 2015, assinada pelos Ministros de Estado da Fazenda e do Planejamento, Orçamento e Gestão, </w:t>
      </w:r>
      <w:r>
        <w:t>diante das projeç</w:t>
      </w:r>
      <w:r w:rsidR="001A0292">
        <w:t xml:space="preserve">ões de déficit, a desvinculação de fontes superavitárias torna-se tempestiva e necessária ao possibilitar </w:t>
      </w:r>
      <w:r w:rsidR="001A0292" w:rsidRPr="001A0292">
        <w:t>uma alocação mais eficiente d</w:t>
      </w:r>
      <w:r w:rsidR="001A0292">
        <w:t>o</w:t>
      </w:r>
      <w:r w:rsidR="001A0292" w:rsidRPr="001A0292">
        <w:t>s recursos</w:t>
      </w:r>
      <w:r w:rsidR="001A0292">
        <w:t xml:space="preserve"> vinculados que </w:t>
      </w:r>
      <w:r w:rsidR="00911E6C">
        <w:t>s</w:t>
      </w:r>
      <w:r w:rsidR="001A0292">
        <w:t>e mostram</w:t>
      </w:r>
      <w:r w:rsidR="001A0292" w:rsidRPr="001A0292">
        <w:t xml:space="preserve"> ociosos</w:t>
      </w:r>
      <w:r w:rsidR="001A0292">
        <w:t>,</w:t>
      </w:r>
      <w:r w:rsidR="001A0292" w:rsidRPr="001A0292">
        <w:t xml:space="preserve"> na realização de despesas já autorizadas, para as quais não há arrecadação suficiente para sua realização</w:t>
      </w:r>
      <w:r w:rsidR="001A0292">
        <w:t>.</w:t>
      </w:r>
    </w:p>
    <w:p w:rsidR="001A0292" w:rsidRDefault="001A0292" w:rsidP="001A0292">
      <w:pPr>
        <w:pStyle w:val="06-Pargrafodetexto-CLG"/>
      </w:pPr>
      <w:r>
        <w:t xml:space="preserve">Com a </w:t>
      </w:r>
      <w:r w:rsidR="000C1905" w:rsidRPr="000C1905">
        <w:t xml:space="preserve">proximidade do encerramento do exercício </w:t>
      </w:r>
      <w:r>
        <w:t xml:space="preserve">financeiro </w:t>
      </w:r>
      <w:r w:rsidR="000C1905" w:rsidRPr="000C1905">
        <w:t>de 2015</w:t>
      </w:r>
      <w:r>
        <w:t xml:space="preserve">, a </w:t>
      </w:r>
      <w:r w:rsidR="000C1905" w:rsidRPr="000C1905">
        <w:t>necessidade de se buscar compatibilizar despesas e</w:t>
      </w:r>
      <w:r>
        <w:t xml:space="preserve"> receitas por fonte de recursos mostra-se urgente, sendo</w:t>
      </w:r>
      <w:r w:rsidR="00307CF0">
        <w:t>, portanto</w:t>
      </w:r>
      <w:r>
        <w:t>, atendido o respectivo pressuposto.</w:t>
      </w:r>
    </w:p>
    <w:p w:rsidR="001A0292" w:rsidRDefault="001A0292" w:rsidP="00307CF0">
      <w:pPr>
        <w:pStyle w:val="06-Pargrafodetexto-CLG"/>
      </w:pPr>
      <w:r>
        <w:t xml:space="preserve">No tocante </w:t>
      </w:r>
      <w:r w:rsidR="000C1905">
        <w:t xml:space="preserve">ao exame de compatibilidade e adequação orçamentária e financeira, </w:t>
      </w:r>
      <w:r>
        <w:t xml:space="preserve">de acordo com a Nota Técnica nº 02/2016, </w:t>
      </w:r>
      <w:r w:rsidR="00307CF0">
        <w:t>da Consultoria de Orçamentos do Senado Federal, o superávit financeiro das receitas vinculadas no final do exercício de 2014 alcançava cifras na ordem de aproximadamente R$ 216,5 bilhões. Como regra geral, na ocorrência de superávits deve-se observar o disposto no art. 8º, parágrafo único, da Lei de Responsabilidade Fiscal, que determina que recursos legalmente vinculados a finalidade específica devem ser utilizados exclusivamente para atender ao objeto de sua vinculação, ainda que em exercício diverso daquele em que ocorrer o ingresso.</w:t>
      </w:r>
    </w:p>
    <w:p w:rsidR="00307CF0" w:rsidRDefault="00307CF0" w:rsidP="000C1905">
      <w:pPr>
        <w:pStyle w:val="06-Pargrafodetexto-CLG"/>
      </w:pPr>
      <w:r>
        <w:t xml:space="preserve">Todavia, sendo a vinculação de recursos determinada em lei ordinária, </w:t>
      </w:r>
      <w:r w:rsidR="007E6145">
        <w:t>por simetria, uma nova lei poderá alterar, encerrar ou mesmo suspender uma determinada vinculação, como no presente caso, visto que medida provisória tem força de lei ordinária</w:t>
      </w:r>
      <w:r w:rsidR="00911E6C">
        <w:t>.</w:t>
      </w:r>
      <w:r w:rsidR="007E6145">
        <w:t xml:space="preserve"> </w:t>
      </w:r>
      <w:r w:rsidR="00911E6C">
        <w:t>Nesse sentido, c</w:t>
      </w:r>
      <w:r w:rsidR="00C34CED">
        <w:t xml:space="preserve">om a edição da MPV nº 704, de 2015, </w:t>
      </w:r>
      <w:r w:rsidR="007E6145">
        <w:t>apenas o superávit financeiro das receitas vinculadas observado em 31 de dezembro de 2014</w:t>
      </w:r>
      <w:r w:rsidR="00911E6C">
        <w:t xml:space="preserve"> foi</w:t>
      </w:r>
      <w:r w:rsidR="007E6145">
        <w:t xml:space="preserve"> liberado para execução de despesas obrigatórias do exercício de 2015, não afetando a arrecadação futura das fontes vinculadas</w:t>
      </w:r>
      <w:r w:rsidR="00C34CED">
        <w:t xml:space="preserve">, cuja utilização </w:t>
      </w:r>
      <w:r w:rsidR="007E6145">
        <w:t>permanece vinculada aos objetivos</w:t>
      </w:r>
      <w:r w:rsidR="009F0852">
        <w:t xml:space="preserve"> a</w:t>
      </w:r>
      <w:r w:rsidR="007E6145">
        <w:t xml:space="preserve"> que se destinam.</w:t>
      </w:r>
    </w:p>
    <w:p w:rsidR="006B4390" w:rsidRDefault="007E6145" w:rsidP="00307CF0">
      <w:pPr>
        <w:pStyle w:val="06-Pargrafodetexto-CLG"/>
      </w:pPr>
      <w:r>
        <w:t>A referida Nota Técnica conclui ainda que</w:t>
      </w:r>
      <w:r w:rsidR="00911E6C">
        <w:t>,</w:t>
      </w:r>
      <w:r>
        <w:t xml:space="preserve"> d</w:t>
      </w:r>
      <w:r w:rsidR="00307CF0">
        <w:t xml:space="preserve">o ponto de vista quantitativo, </w:t>
      </w:r>
      <w:r>
        <w:t xml:space="preserve">a MPV nº 704, de 2015, </w:t>
      </w:r>
      <w:r w:rsidR="00307CF0">
        <w:t xml:space="preserve">não </w:t>
      </w:r>
      <w:r>
        <w:t xml:space="preserve">promove </w:t>
      </w:r>
      <w:r w:rsidR="00307CF0">
        <w:t>impacto</w:t>
      </w:r>
      <w:r>
        <w:t>s</w:t>
      </w:r>
      <w:r w:rsidR="00307CF0">
        <w:t xml:space="preserve"> direto</w:t>
      </w:r>
      <w:r>
        <w:t>s</w:t>
      </w:r>
      <w:r w:rsidR="00307CF0">
        <w:t xml:space="preserve"> sobre receitas e despesas da União</w:t>
      </w:r>
      <w:r>
        <w:t>, havendo</w:t>
      </w:r>
      <w:r w:rsidR="00307CF0">
        <w:t>, tão somente,</w:t>
      </w:r>
      <w:r>
        <w:t xml:space="preserve"> uma</w:t>
      </w:r>
      <w:r w:rsidR="00307CF0">
        <w:t xml:space="preserve"> alteração de natureza qualitativa, </w:t>
      </w:r>
      <w:r w:rsidR="006B4390">
        <w:t xml:space="preserve">com uma </w:t>
      </w:r>
      <w:r w:rsidR="00307CF0">
        <w:t>redefin</w:t>
      </w:r>
      <w:r w:rsidR="006B4390">
        <w:t>ição alocativa, sendo esse</w:t>
      </w:r>
      <w:r w:rsidR="00C34CED" w:rsidRPr="00C34CED">
        <w:t xml:space="preserve"> </w:t>
      </w:r>
      <w:r w:rsidR="00C34CED">
        <w:t>justamente</w:t>
      </w:r>
      <w:r w:rsidR="006B4390">
        <w:t xml:space="preserve"> o objetivo primordial da edição da medida, conforme a EMI </w:t>
      </w:r>
      <w:r w:rsidR="006B4390" w:rsidRPr="000C1905">
        <w:t>n° 233,</w:t>
      </w:r>
      <w:r w:rsidR="006B4390">
        <w:t xml:space="preserve"> de</w:t>
      </w:r>
      <w:r w:rsidR="00C34CED">
        <w:t> </w:t>
      </w:r>
      <w:r w:rsidR="006B4390">
        <w:t>2015.</w:t>
      </w:r>
    </w:p>
    <w:p w:rsidR="006B4390" w:rsidRDefault="006B4390" w:rsidP="00307CF0">
      <w:pPr>
        <w:pStyle w:val="06-Pargrafodetexto-CLG"/>
      </w:pPr>
      <w:r>
        <w:t xml:space="preserve">Diante da crise econômica que a economia brasileira enfrenta, </w:t>
      </w:r>
      <w:r w:rsidRPr="006B4390">
        <w:t>as vinculações de receitas engessam a eficiente alocação orçamentária e financeira</w:t>
      </w:r>
      <w:r>
        <w:t>, gerando uma situação na qual observamos que</w:t>
      </w:r>
      <w:r w:rsidR="00911E6C">
        <w:t>,</w:t>
      </w:r>
      <w:r>
        <w:t xml:space="preserve"> p</w:t>
      </w:r>
      <w:r w:rsidRPr="006B4390">
        <w:t>ara o atendimento de algumas despesas</w:t>
      </w:r>
      <w:r w:rsidR="00911E6C">
        <w:t>,</w:t>
      </w:r>
      <w:r w:rsidRPr="006B4390">
        <w:t xml:space="preserve"> não há suficiência de recursos arrecadados, enquanto, para outras, há recursos disponíveis além do necessário</w:t>
      </w:r>
      <w:r>
        <w:t>. Por sanar tal situação, entendemos ser a MPV nº 704, de 2015, oportuna e meritória.</w:t>
      </w:r>
    </w:p>
    <w:p w:rsidR="006B4390" w:rsidRDefault="006B4390" w:rsidP="00C92C40">
      <w:pPr>
        <w:pStyle w:val="06-Pargrafodetexto-CLG"/>
      </w:pPr>
      <w:r>
        <w:t>Quanto às emendas apresentadas, entendemos que as mesmas devam ser rejeitadas, por limitarem o alcance da Medida (emendas 001</w:t>
      </w:r>
      <w:r w:rsidR="0097604E">
        <w:t xml:space="preserve"> e </w:t>
      </w:r>
      <w:r>
        <w:t>003 que excluem o art. 1</w:t>
      </w:r>
      <w:r w:rsidRPr="007E06F8">
        <w:t>º</w:t>
      </w:r>
      <w:r w:rsidR="0097604E">
        <w:t>, emendas 004, 005, 007 e art. 1</w:t>
      </w:r>
      <w:r w:rsidR="0097604E" w:rsidRPr="007E06F8">
        <w:t>º</w:t>
      </w:r>
      <w:r w:rsidR="0097604E">
        <w:t xml:space="preserve"> da emenda 006que estabelecem nova vinculação, e emenda 008 que restringe as fontes possíveis de desvinculação</w:t>
      </w:r>
      <w:r>
        <w:t>)</w:t>
      </w:r>
      <w:r w:rsidR="0097604E">
        <w:t>; por estabelecer novas obrigações financeiras ao Tesouro Nacional (art. 2</w:t>
      </w:r>
      <w:r w:rsidR="0097604E" w:rsidRPr="007E06F8">
        <w:t>º</w:t>
      </w:r>
      <w:r w:rsidR="0097604E">
        <w:t xml:space="preserve"> da emenda 006); por incluir matéria alheia ao tema principal da Medida (emenda 009); por </w:t>
      </w:r>
      <w:r w:rsidR="00C92C40">
        <w:t xml:space="preserve">exigir relatórios adicionais frente aos relatórios que o Poder Executivo já tem a obrigação de enviar ao Congresso Nacional </w:t>
      </w:r>
      <w:r w:rsidR="009F0852">
        <w:t xml:space="preserve">e cujo objeto seria melhor alcançado pelo uso de requerimento de informações </w:t>
      </w:r>
      <w:r w:rsidR="00C92C40">
        <w:t>(emenda 002); e por estabelecer regras que inviabilizam a imediata e efetiva implementação da Medida (emenda 010 que exige a realização de audiência pública na Comissão de Assuntos Econômicos (CAE) do Senado Federal,</w:t>
      </w:r>
      <w:r w:rsidR="00911E6C">
        <w:t xml:space="preserve"> </w:t>
      </w:r>
      <w:r w:rsidR="00C92C40">
        <w:t>previamente à aprovação e validação do uso do superávit financeiro).</w:t>
      </w:r>
    </w:p>
    <w:p w:rsidR="000A450F" w:rsidRPr="00433B79" w:rsidRDefault="000A450F" w:rsidP="00777C7B">
      <w:pPr>
        <w:pStyle w:val="06-Pargrafodetexto-CLG"/>
      </w:pPr>
    </w:p>
    <w:p w:rsidR="00A85ECB" w:rsidRDefault="00A85ECB" w:rsidP="00A85ECB">
      <w:pPr>
        <w:pStyle w:val="05-Subttulo-CLG"/>
      </w:pPr>
      <w:r>
        <w:t>III – VOTO</w:t>
      </w:r>
    </w:p>
    <w:p w:rsidR="00A85ECB" w:rsidRPr="00433B79" w:rsidRDefault="000A450F" w:rsidP="000A450F">
      <w:pPr>
        <w:pStyle w:val="06-Pargrafodetexto-CLG"/>
      </w:pPr>
      <w:r>
        <w:t>Diante do exposto, manifestamos nosso voto pela constitucionalidade e juridicidade da Medida Provisória</w:t>
      </w:r>
      <w:r w:rsidR="00C92C40">
        <w:t xml:space="preserve"> nº 704, de 2015,</w:t>
      </w:r>
      <w:r>
        <w:t xml:space="preserve"> bem como pelo atendimento dos pressupostos de relevância, urgência e adequação financeira e orçamentária,</w:t>
      </w:r>
      <w:r w:rsidR="00C92C40">
        <w:t xml:space="preserve"> e quanto ao mérito, votamos por sua </w:t>
      </w:r>
      <w:r>
        <w:t>aprovação nos estritos termos em que foi editada, com a rejeição de todas as emendas apresentadas.</w:t>
      </w:r>
    </w:p>
    <w:p w:rsidR="00A85ECB" w:rsidRDefault="00C218D0" w:rsidP="00A85ECB">
      <w:pPr>
        <w:pStyle w:val="10-Local-CLG"/>
      </w:pPr>
      <w:r>
        <w:t>Sala da Comissão,</w:t>
      </w:r>
    </w:p>
    <w:p w:rsidR="00A85ECB" w:rsidRPr="00724990" w:rsidRDefault="00A85ECB" w:rsidP="00A85ECB">
      <w:pPr>
        <w:pStyle w:val="11-Assinaturas-CLG"/>
      </w:pPr>
      <w:r>
        <w:t>, Presidente</w:t>
      </w:r>
    </w:p>
    <w:p w:rsidR="00A85ECB" w:rsidRDefault="00A85ECB" w:rsidP="00A85ECB">
      <w:pPr>
        <w:pStyle w:val="11-Assinaturas-CLG"/>
      </w:pPr>
      <w:r>
        <w:t>, Relator</w:t>
      </w:r>
    </w:p>
    <w:sectPr w:rsidR="00A85ECB" w:rsidSect="00C7462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283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5C" w:rsidRDefault="0076375C" w:rsidP="00A85ECB">
      <w:pPr>
        <w:spacing w:after="0" w:line="240" w:lineRule="auto"/>
      </w:pPr>
      <w:r>
        <w:separator/>
      </w:r>
    </w:p>
  </w:endnote>
  <w:endnote w:type="continuationSeparator" w:id="0">
    <w:p w:rsidR="0076375C" w:rsidRDefault="0076375C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5C0FDC">
    <w:pPr>
      <w:pStyle w:val="Rodap"/>
      <w:rPr>
        <w:i/>
        <w:sz w:val="18"/>
      </w:rPr>
    </w:pPr>
    <w:r w:rsidRPr="005C0FDC">
      <w:rPr>
        <w:i/>
        <w:sz w:val="18"/>
        <w:szCs w:val="18"/>
      </w:rPr>
      <w:t>ht2016-02518</w:t>
    </w:r>
    <w:r w:rsidR="00385A9D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5C" w:rsidRDefault="0076375C" w:rsidP="00A85ECB">
      <w:pPr>
        <w:spacing w:after="0" w:line="240" w:lineRule="auto"/>
      </w:pPr>
      <w:r>
        <w:separator/>
      </w:r>
    </w:p>
  </w:footnote>
  <w:footnote w:type="continuationSeparator" w:id="0">
    <w:p w:rsidR="0076375C" w:rsidRDefault="0076375C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984FFC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C2C" w:rsidRDefault="00EC1DED">
    <w:pPr>
      <w:pStyle w:val="Cabealho"/>
      <w:ind w:right="360"/>
    </w:pPr>
  </w:p>
  <w:p w:rsidR="00D11C2C" w:rsidRDefault="00EC1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984FFC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1DE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11C2C" w:rsidRDefault="00EC1DED">
    <w:pPr>
      <w:pStyle w:val="Cabealho"/>
      <w:ind w:right="360"/>
    </w:pPr>
  </w:p>
  <w:p w:rsidR="00D11C2C" w:rsidRDefault="00EC1D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F0D"/>
    <w:multiLevelType w:val="hybridMultilevel"/>
    <w:tmpl w:val="D6145F16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78A47E67"/>
    <w:multiLevelType w:val="hybridMultilevel"/>
    <w:tmpl w:val="1514057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B"/>
    <w:rsid w:val="0003485E"/>
    <w:rsid w:val="00055CBB"/>
    <w:rsid w:val="0007300D"/>
    <w:rsid w:val="00076143"/>
    <w:rsid w:val="000A450F"/>
    <w:rsid w:val="000C1905"/>
    <w:rsid w:val="000F5708"/>
    <w:rsid w:val="001234EB"/>
    <w:rsid w:val="001357F9"/>
    <w:rsid w:val="0014058C"/>
    <w:rsid w:val="0017028B"/>
    <w:rsid w:val="0019646D"/>
    <w:rsid w:val="001A0292"/>
    <w:rsid w:val="001C6459"/>
    <w:rsid w:val="001F7438"/>
    <w:rsid w:val="001F7966"/>
    <w:rsid w:val="002029DB"/>
    <w:rsid w:val="0024069A"/>
    <w:rsid w:val="002F08FB"/>
    <w:rsid w:val="002F41D0"/>
    <w:rsid w:val="00307CF0"/>
    <w:rsid w:val="00333791"/>
    <w:rsid w:val="00385A9D"/>
    <w:rsid w:val="003B6BA9"/>
    <w:rsid w:val="003C5949"/>
    <w:rsid w:val="003F695A"/>
    <w:rsid w:val="004254A4"/>
    <w:rsid w:val="0048265E"/>
    <w:rsid w:val="00494609"/>
    <w:rsid w:val="00494702"/>
    <w:rsid w:val="004B46B7"/>
    <w:rsid w:val="004D4188"/>
    <w:rsid w:val="004E2C4B"/>
    <w:rsid w:val="0050661C"/>
    <w:rsid w:val="005079CB"/>
    <w:rsid w:val="005427DE"/>
    <w:rsid w:val="0055336D"/>
    <w:rsid w:val="00581660"/>
    <w:rsid w:val="0059291D"/>
    <w:rsid w:val="005B791A"/>
    <w:rsid w:val="005C0FDC"/>
    <w:rsid w:val="005F66EF"/>
    <w:rsid w:val="00666B40"/>
    <w:rsid w:val="006B2AD4"/>
    <w:rsid w:val="006B4390"/>
    <w:rsid w:val="00707653"/>
    <w:rsid w:val="00736D7E"/>
    <w:rsid w:val="00760EB4"/>
    <w:rsid w:val="0076375C"/>
    <w:rsid w:val="007731B3"/>
    <w:rsid w:val="00777C7B"/>
    <w:rsid w:val="00784FC6"/>
    <w:rsid w:val="00786E12"/>
    <w:rsid w:val="00796409"/>
    <w:rsid w:val="007E06F8"/>
    <w:rsid w:val="007E6145"/>
    <w:rsid w:val="007F6C25"/>
    <w:rsid w:val="00800E94"/>
    <w:rsid w:val="00806347"/>
    <w:rsid w:val="0081658A"/>
    <w:rsid w:val="008707F5"/>
    <w:rsid w:val="008D22A3"/>
    <w:rsid w:val="008F7687"/>
    <w:rsid w:val="00911E6C"/>
    <w:rsid w:val="00947405"/>
    <w:rsid w:val="00957CF0"/>
    <w:rsid w:val="0097604E"/>
    <w:rsid w:val="009765EA"/>
    <w:rsid w:val="00984FFC"/>
    <w:rsid w:val="009A1286"/>
    <w:rsid w:val="009E758C"/>
    <w:rsid w:val="009F0852"/>
    <w:rsid w:val="00A070DD"/>
    <w:rsid w:val="00A115A7"/>
    <w:rsid w:val="00A85ECB"/>
    <w:rsid w:val="00B26EDC"/>
    <w:rsid w:val="00B44A19"/>
    <w:rsid w:val="00B44FE6"/>
    <w:rsid w:val="00B5322A"/>
    <w:rsid w:val="00B57CDF"/>
    <w:rsid w:val="00B62EAA"/>
    <w:rsid w:val="00B918FD"/>
    <w:rsid w:val="00C218D0"/>
    <w:rsid w:val="00C34CED"/>
    <w:rsid w:val="00C536B1"/>
    <w:rsid w:val="00C54477"/>
    <w:rsid w:val="00C60921"/>
    <w:rsid w:val="00C7462A"/>
    <w:rsid w:val="00C92C40"/>
    <w:rsid w:val="00CF4AAD"/>
    <w:rsid w:val="00D20B94"/>
    <w:rsid w:val="00E156FF"/>
    <w:rsid w:val="00E241F7"/>
    <w:rsid w:val="00E26C2A"/>
    <w:rsid w:val="00E27854"/>
    <w:rsid w:val="00EC05B2"/>
    <w:rsid w:val="00EC1DED"/>
    <w:rsid w:val="00ED38EE"/>
    <w:rsid w:val="00F02C9D"/>
    <w:rsid w:val="00F56077"/>
    <w:rsid w:val="00FA009E"/>
    <w:rsid w:val="00FA22FA"/>
    <w:rsid w:val="00FE762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89DB0-9FBB-439A-A742-983ED9F1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27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27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278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nhideWhenUsed/>
    <w:rsid w:val="00A85ECB"/>
  </w:style>
  <w:style w:type="paragraph" w:customStyle="1" w:styleId="01-Minuta-CLG">
    <w:name w:val="01 - Minuta - CLG"/>
    <w:link w:val="01-Minuta-CLGChar"/>
    <w:rsid w:val="00A85ECB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85ECB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next w:val="06-Pargrafodetexto-CLG"/>
    <w:link w:val="05-Subttulo-CLGChar"/>
    <w:qFormat/>
    <w:rsid w:val="008F7687"/>
    <w:pPr>
      <w:keepNext/>
      <w:keepLines/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qFormat/>
    <w:rsid w:val="00A85EC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A85ECB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rsid w:val="008F76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qFormat/>
    <w:rsid w:val="00A85ECB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qFormat/>
    <w:rsid w:val="00A85ECB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next w:val="06-Pargrafodetexto-CLG"/>
    <w:qFormat/>
    <w:rsid w:val="007731B3"/>
    <w:pPr>
      <w:keepNext/>
      <w:keepLines/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Alves Ferreira</dc:creator>
  <cp:lastModifiedBy>Bruno Brey Vieira</cp:lastModifiedBy>
  <cp:revision>2</cp:revision>
  <dcterms:created xsi:type="dcterms:W3CDTF">2016-04-12T21:13:00Z</dcterms:created>
  <dcterms:modified xsi:type="dcterms:W3CDTF">2016-04-12T21:13:00Z</dcterms:modified>
</cp:coreProperties>
</file>