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2C5BA" w14:textId="58B2998C" w:rsidR="00A85ECB" w:rsidRDefault="00C218D0" w:rsidP="00A85ECB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 w:rsidR="00A85ECB">
        <w:t xml:space="preserve"> Nº       , DE 201</w:t>
      </w:r>
      <w:r w:rsidR="00FD0860">
        <w:t>6</w:t>
      </w:r>
    </w:p>
    <w:p w14:paraId="18B816DD" w14:textId="77777777" w:rsidR="00A85ECB" w:rsidRDefault="00C218D0" w:rsidP="00A85ECB">
      <w:pPr>
        <w:pStyle w:val="03-Ementa-CLG"/>
      </w:pPr>
      <w:r>
        <w:t xml:space="preserve">Da COMISSÃO DE ASSUNTOS SOCIAIS, em decisão terminativa, sobre o Projeto de Lei do Senado (PLS) nº 212, de 2013, do Senador Paulo Paim, que </w:t>
      </w:r>
      <w:r>
        <w:rPr>
          <w:i/>
        </w:rPr>
        <w:t>altera a Lei nº 8.742, de 7 de dezembro de 1993 – Lei Orgânica da Assistência Social –, para elevar o limite da renda familiar que enseja o recebimento do benefício de prestação continuada</w:t>
      </w:r>
      <w:r>
        <w:t>.</w:t>
      </w:r>
    </w:p>
    <w:p w14:paraId="6951C8CA" w14:textId="77777777" w:rsidR="00A85ECB" w:rsidRDefault="00C218D0" w:rsidP="00A85ECB">
      <w:pPr>
        <w:pStyle w:val="04-Relatoria-CLG"/>
      </w:pPr>
      <w:r>
        <w:t xml:space="preserve">Relator: Senador </w:t>
      </w:r>
      <w:r>
        <w:rPr>
          <w:b/>
          <w:caps/>
        </w:rPr>
        <w:t>Eduardo Amorim</w:t>
      </w:r>
    </w:p>
    <w:p w14:paraId="0190E98B" w14:textId="77777777" w:rsidR="00A85ECB" w:rsidRDefault="00A85ECB" w:rsidP="00A85ECB">
      <w:pPr>
        <w:pStyle w:val="05-Subttulo-CLG"/>
      </w:pPr>
      <w:r>
        <w:t>I – RELATÓRIO</w:t>
      </w:r>
    </w:p>
    <w:p w14:paraId="2F5C2C26" w14:textId="77777777" w:rsidR="008A5696" w:rsidRDefault="008A5696" w:rsidP="008A5696">
      <w:pPr>
        <w:pStyle w:val="06-Pargrafodetexto-CLG"/>
      </w:pPr>
      <w:r>
        <w:t>Vem ao exame desta Comissão de Assuntos Sociais (CAS), para decisão terminativa, o Projeto de Lei do Senado (PLS) nº 212, de 2013, que eleva o valor da renda familiar que dá direito a receber o Benefício de Prestação Continuada (BPC), a ser pago aos idosos e às pessoas com deficiência, em razão do art. 203, inciso V, da Constituição Federal.</w:t>
      </w:r>
    </w:p>
    <w:p w14:paraId="7E167F8D" w14:textId="77777777" w:rsidR="008A5696" w:rsidRDefault="008A5696" w:rsidP="008A5696">
      <w:pPr>
        <w:pStyle w:val="06-Pargrafodetexto-CLG"/>
      </w:pPr>
      <w:r>
        <w:t xml:space="preserve">Em seu art. 1º, a proposição altera a redação do § 3º do art. 20 da Lei nº 8.742, de 7 de dezembro de 1993 (Lei Orgânica da Assistência Social – LOAS), que, em sua forma atual, torna elegíveis aquelas pessoas idosas e com deficiência cuja renda familiar mensal </w:t>
      </w:r>
      <w:r>
        <w:rPr>
          <w:i/>
        </w:rPr>
        <w:t>per capita</w:t>
      </w:r>
      <w:r>
        <w:t xml:space="preserve"> seja igual ou menor do que a quarta parte do salário mínimo em vigor. A redação proposta eleva o critério de elegibilidade para recebimento do benefício: passam a poder receber o BPC todos aqueles cuja renda familiar mensal </w:t>
      </w:r>
      <w:r>
        <w:rPr>
          <w:i/>
        </w:rPr>
        <w:t xml:space="preserve">per </w:t>
      </w:r>
      <w:r w:rsidRPr="00D727C1">
        <w:t>capita</w:t>
      </w:r>
      <w:r>
        <w:t xml:space="preserve"> seja igual ou inferior a </w:t>
      </w:r>
      <w:r w:rsidRPr="00D727C1">
        <w:t>três</w:t>
      </w:r>
      <w:r>
        <w:t xml:space="preserve"> quartos do salário mínimo em vigor.</w:t>
      </w:r>
    </w:p>
    <w:p w14:paraId="40283015" w14:textId="77777777" w:rsidR="008A5696" w:rsidRDefault="008A5696" w:rsidP="008A5696">
      <w:pPr>
        <w:pStyle w:val="06-Pargrafodetexto-CLG"/>
      </w:pPr>
      <w:r>
        <w:t>Em seu art. 2º, a proposição busca adequar as mudanças que propõe à Lei Complementar nº 101, de 4 de maio de 2000 (Lei de Responsabilidade Fiscal), ao estipular que “será incluída estimativa do montante do benefício decorrente do disposto nesta Lei no demonstrativo a que se refere o § 6º do art. 165 da Constituição Federal”.</w:t>
      </w:r>
    </w:p>
    <w:p w14:paraId="60C96E6B" w14:textId="77777777" w:rsidR="008A5696" w:rsidRDefault="008A5696" w:rsidP="008A5696">
      <w:pPr>
        <w:pStyle w:val="06-Pargrafodetexto-CLG"/>
      </w:pPr>
      <w:r>
        <w:lastRenderedPageBreak/>
        <w:t>Em seu art. 3º,</w:t>
      </w:r>
      <w:r w:rsidR="004E167B">
        <w:t xml:space="preserve"> a proposição estabelece que a l</w:t>
      </w:r>
      <w:r>
        <w:t xml:space="preserve">ei </w:t>
      </w:r>
      <w:r w:rsidR="004E167B">
        <w:t xml:space="preserve">resultante do projeto </w:t>
      </w:r>
      <w:r>
        <w:t>entrará em vigor quando de sua publicação, vindo a produzir efeitos, entretanto, a partir do primeiro dia do exercício financeiro seguinte ao de sua publicação.</w:t>
      </w:r>
    </w:p>
    <w:p w14:paraId="2A9DE214" w14:textId="77777777" w:rsidR="008A5696" w:rsidRDefault="008A5696" w:rsidP="008A5696">
      <w:pPr>
        <w:pStyle w:val="06-Pargrafodetexto-CLG"/>
      </w:pPr>
      <w:r>
        <w:t>Ao justificar sua proposição, o autor aduz que o critério atual de elegibilidade, conforme descrito anteriormente, não implementa o valor de dignidade humana que a Constituição tutela, descumprindo-a, portanto; ademais, esclarece que o aumento que propõe pode ser suportado pelo orçamento da Previdência Social.</w:t>
      </w:r>
    </w:p>
    <w:p w14:paraId="05F6DFA1" w14:textId="77777777" w:rsidR="008A5696" w:rsidRDefault="008A5696" w:rsidP="008A5696">
      <w:pPr>
        <w:pStyle w:val="06-Pargrafodetexto-CLG"/>
      </w:pPr>
      <w:r>
        <w:t xml:space="preserve">A proposição foi inicialmente analisada pela Comissão de Direitos Humanos e Legislação Participativa, que proferiu parecer favorável com uma emenda à ementa do PLS nº 212, de 2013, apenas para especificar que a renda mensal que enseja a percepção do BPC é </w:t>
      </w:r>
      <w:r w:rsidR="004E167B">
        <w:t xml:space="preserve">“familiar </w:t>
      </w:r>
      <w:r w:rsidRPr="00D64DA1">
        <w:rPr>
          <w:i/>
        </w:rPr>
        <w:t>per capita.</w:t>
      </w:r>
    </w:p>
    <w:p w14:paraId="6AEDC61A" w14:textId="77777777" w:rsidR="00A85ECB" w:rsidRPr="003311AC" w:rsidRDefault="00A85ECB" w:rsidP="00A85ECB">
      <w:pPr>
        <w:pStyle w:val="06-Pargrafodetexto-CLG"/>
      </w:pPr>
    </w:p>
    <w:p w14:paraId="3ED5D080" w14:textId="77777777" w:rsidR="00A85ECB" w:rsidRPr="005523B9" w:rsidRDefault="00A85ECB" w:rsidP="00A85ECB">
      <w:pPr>
        <w:pStyle w:val="05-Subttulo-CLG"/>
      </w:pPr>
      <w:r w:rsidRPr="005523B9">
        <w:t>II – ANÁLISE</w:t>
      </w:r>
    </w:p>
    <w:p w14:paraId="2BAC9E7C" w14:textId="77777777" w:rsidR="008A5696" w:rsidRDefault="008A5696" w:rsidP="004E167B">
      <w:pPr>
        <w:pStyle w:val="06-Pargrafodetexto-CLG"/>
        <w:spacing w:after="200"/>
      </w:pPr>
      <w:r>
        <w:t>Conforme o disposto no art. 100, I, do Regimento Interno do Senado Federal, compete à CAS opinar sobre proposições atinentes à seguridade social e à assistência social, o que torna regimental o exame do PLS nº 212, de 2013, por esta Comissão.</w:t>
      </w:r>
    </w:p>
    <w:p w14:paraId="1848C8AD" w14:textId="77777777" w:rsidR="008A5696" w:rsidRDefault="008A5696" w:rsidP="004E167B">
      <w:pPr>
        <w:pStyle w:val="06-Pargrafodetexto-CLG"/>
        <w:spacing w:after="200"/>
      </w:pPr>
      <w:r>
        <w:t xml:space="preserve">A Constituição Federal atribui competência privativa à União para legislar sobre seguridade social (art.22, inciso XXIII) e competência comum à União, aos Estados, ao Distrito Federal e aos Municípios para cuidar da saúde, da proteção e da garantia das pessoas com deficiência (art. 23, inciso II). </w:t>
      </w:r>
    </w:p>
    <w:p w14:paraId="3B474F38" w14:textId="77777777" w:rsidR="008A5696" w:rsidRDefault="008A5696" w:rsidP="004E167B">
      <w:pPr>
        <w:pStyle w:val="06-Pargrafodetexto-CLG"/>
        <w:spacing w:after="200"/>
      </w:pPr>
      <w:r>
        <w:t xml:space="preserve">Um dos fundamentos da República é a justiça distributiva, conforme se lê no inciso III do art. 1º da Carta Magna, o qual, associado aos incisos I, III e IV de seu art. 3º, estabelecem que a construção de uma sociedade livre, justa e solidária, a erradicação da pobreza e a redução das desigualdades e a promoção do bem de todos, sem preconceitos ou discriminações de qualquer ordem, são metas de toda a sociedade brasileira. Consolidando normativamente os princípios, o item V do art. 203 da Constituição transforma os valores referidos em obrigações distributivas, ao garantir um salário mínimo de benefício mensal às pessoas idosas e com deficiência, incapazes de, por si mesmas ou por meio de suas famílias, fazer prover a sua manutenção. </w:t>
      </w:r>
    </w:p>
    <w:p w14:paraId="39B6DDED" w14:textId="77777777" w:rsidR="008A5696" w:rsidRDefault="008A5696" w:rsidP="004E167B">
      <w:pPr>
        <w:pStyle w:val="06-Pargrafodetexto-CLG"/>
        <w:spacing w:after="200"/>
      </w:pPr>
      <w:r>
        <w:lastRenderedPageBreak/>
        <w:t xml:space="preserve">A LOAS, no § 3º de seu art. 20, define como incapaz de prover a manutenção das pessoas idosas ou com deficiência a família cuja renda mensal </w:t>
      </w:r>
      <w:r>
        <w:rPr>
          <w:i/>
        </w:rPr>
        <w:t>per capita</w:t>
      </w:r>
      <w:r>
        <w:t xml:space="preserve"> seja igual ou superior a um quarto do salário mínimo vigente. Tal nível de corte beneficia apenas aquelas pessoas em condição de extrema pobreza, deixando bom número de pessoas idosas ou com deficiência, necessitadas e hipossuficientes, à margem da proteção constitucional da dignidade e do bem de todos. É justamente a essa realidade que a proposição se dirige.</w:t>
      </w:r>
    </w:p>
    <w:p w14:paraId="376CAAFC" w14:textId="5356CB1E" w:rsidR="008A5696" w:rsidRDefault="008A5696" w:rsidP="004E167B">
      <w:pPr>
        <w:pStyle w:val="06-Pargrafodetexto-CLG"/>
        <w:spacing w:after="200"/>
      </w:pPr>
      <w:r>
        <w:t xml:space="preserve">O autor esclarece, por fim, que a medida proposta não duplicaria os custos orçamentários do BPC, visto que o benefício já é pago a muitos cuja renda familiar mensal </w:t>
      </w:r>
      <w:r>
        <w:rPr>
          <w:i/>
        </w:rPr>
        <w:t xml:space="preserve">per </w:t>
      </w:r>
      <w:r w:rsidRPr="004E167B">
        <w:rPr>
          <w:i/>
        </w:rPr>
        <w:t>capita</w:t>
      </w:r>
      <w:r>
        <w:t xml:space="preserve"> é superior ao quarto do salário mínimo. </w:t>
      </w:r>
      <w:r w:rsidR="00FD695B">
        <w:t>Contudo, embora</w:t>
      </w:r>
      <w:r>
        <w:t xml:space="preserve"> nosso entendimento seja o de que o PLS nº 212, de 2013, deva prosperar nos termos em que está, suas implicações orçamentárias, ainda que façam sentido constitucional, precisam também ser analisadas à luz d</w:t>
      </w:r>
      <w:r w:rsidR="008515A0">
        <w:t>o</w:t>
      </w:r>
      <w:r>
        <w:t xml:space="preserve"> difícil </w:t>
      </w:r>
      <w:r w:rsidR="00B95C16">
        <w:t>quadro p</w:t>
      </w:r>
      <w:r>
        <w:t>ela qual passa o país. Destarte, parece-nos adequado que a proposição</w:t>
      </w:r>
      <w:r w:rsidR="00B95C16">
        <w:t xml:space="preserve">, preliminarmente, </w:t>
      </w:r>
      <w:r>
        <w:t>seja também examinada pela Comissão de Assuntos Econômicos, mais bem aparelhada para a análise das consequências orçamentárias. Encaminhamos requerimento nesse sentido a esta Comissão de Assuntos Sociais.</w:t>
      </w:r>
    </w:p>
    <w:p w14:paraId="5EE84FE0" w14:textId="77777777" w:rsidR="00A85ECB" w:rsidRPr="00433B79" w:rsidRDefault="00A85ECB" w:rsidP="00A85ECB">
      <w:pPr>
        <w:pStyle w:val="06-Pargrafodetexto-CLG"/>
      </w:pPr>
    </w:p>
    <w:p w14:paraId="114D2569" w14:textId="77777777" w:rsidR="00A85ECB" w:rsidRDefault="00A85ECB" w:rsidP="00A85ECB">
      <w:pPr>
        <w:pStyle w:val="05-Subttulo-CLG"/>
      </w:pPr>
      <w:r>
        <w:t>III – VOTO</w:t>
      </w:r>
    </w:p>
    <w:p w14:paraId="57A0E93C" w14:textId="7D174E70" w:rsidR="008A5696" w:rsidRPr="00911FB2" w:rsidRDefault="00B95C16" w:rsidP="008A5696">
      <w:pPr>
        <w:pStyle w:val="06-Pargrafodetexto-CLG"/>
      </w:pPr>
      <w:r>
        <w:t>Com base nos artigos 133, inciso V, alínea b e 138, inciso I, combinados com o artigo 99, Inciso I, do Regimento Interno do Senado Federal, entendemos que, antes de nos posicionarmos de forma definitiva nesta Comissão de Assuntos Sociais, há a necessidade de que a matéria seja encaminha à Comissão de Assuntos Econômicos para manifestação, para o que propomos o requerimento em anexo.</w:t>
      </w:r>
    </w:p>
    <w:p w14:paraId="5320968F" w14:textId="77777777" w:rsidR="00A85ECB" w:rsidRDefault="00A85ECB" w:rsidP="00A85ECB">
      <w:pPr>
        <w:pStyle w:val="06-Pargrafodetexto-CLG"/>
      </w:pPr>
    </w:p>
    <w:p w14:paraId="46CB38B4" w14:textId="77777777" w:rsidR="002E3352" w:rsidRDefault="002E3352" w:rsidP="00A85ECB">
      <w:pPr>
        <w:pStyle w:val="06-Pargrafodetexto-CLG"/>
      </w:pPr>
    </w:p>
    <w:p w14:paraId="001424C3" w14:textId="7C8F174B" w:rsidR="00A358B0" w:rsidRDefault="00A358B0" w:rsidP="00993FD5">
      <w:pPr>
        <w:pStyle w:val="06-Pargrafodetexto-CLG"/>
        <w:jc w:val="center"/>
        <w:rPr>
          <w:b/>
        </w:rPr>
      </w:pPr>
      <w:r w:rsidRPr="00A358B0">
        <w:rPr>
          <w:b/>
        </w:rPr>
        <w:t>REQUERIMENTO Nº             DE 2016</w:t>
      </w:r>
    </w:p>
    <w:p w14:paraId="124BE63E" w14:textId="77777777" w:rsidR="002E3352" w:rsidRDefault="002E3352" w:rsidP="00993FD5">
      <w:pPr>
        <w:pStyle w:val="06-Pargrafodetexto-CLG"/>
        <w:jc w:val="center"/>
        <w:rPr>
          <w:b/>
        </w:rPr>
      </w:pPr>
    </w:p>
    <w:p w14:paraId="1094E3E5" w14:textId="45FA5CCC" w:rsidR="002E3352" w:rsidRDefault="002E3352" w:rsidP="00A85ECB">
      <w:pPr>
        <w:pStyle w:val="06-Pargrafodetexto-CLG"/>
      </w:pPr>
      <w:r>
        <w:t>Requeiro, com base nos artigos 133, inciso V, alínea b e 138, Inciso I, combinados com o artigo 99, Inciso I, do Regimento Interno do Senado Federal, apreciação do PLS nº 212, de 2013, pela Comissão de Assuntos Econômicos (CAE).</w:t>
      </w:r>
    </w:p>
    <w:p w14:paraId="7D4B1F3D" w14:textId="6DFD8F9B" w:rsidR="002E3352" w:rsidRDefault="002E3352" w:rsidP="00A85ECB">
      <w:pPr>
        <w:pStyle w:val="06-Pargrafodetexto-CLG"/>
      </w:pPr>
    </w:p>
    <w:p w14:paraId="337B1E00" w14:textId="0F679D30" w:rsidR="002E3352" w:rsidRDefault="002E3352" w:rsidP="00A85ECB">
      <w:pPr>
        <w:pStyle w:val="06-Pargrafodetexto-CLG"/>
      </w:pPr>
      <w:r>
        <w:t xml:space="preserve">Sala das Comissões, </w:t>
      </w:r>
    </w:p>
    <w:p w14:paraId="0AF2605E" w14:textId="77777777" w:rsidR="002E3352" w:rsidRDefault="002E3352" w:rsidP="00A85ECB">
      <w:pPr>
        <w:pStyle w:val="06-Pargrafodetexto-CLG"/>
      </w:pPr>
    </w:p>
    <w:p w14:paraId="15060645" w14:textId="72AB53D7" w:rsidR="002E3352" w:rsidRDefault="002E3352" w:rsidP="00A85ECB">
      <w:pPr>
        <w:pStyle w:val="06-Pargrafodetexto-CLG"/>
      </w:pPr>
      <w:r>
        <w:tab/>
      </w:r>
      <w:r>
        <w:tab/>
      </w:r>
      <w:r>
        <w:tab/>
      </w:r>
      <w:r>
        <w:tab/>
      </w:r>
      <w:r>
        <w:tab/>
        <w:t>, Presidente</w:t>
      </w:r>
    </w:p>
    <w:p w14:paraId="6A06FCCF" w14:textId="77777777" w:rsidR="002E3352" w:rsidRDefault="002E3352" w:rsidP="00A85ECB">
      <w:pPr>
        <w:pStyle w:val="06-Pargrafodetexto-CLG"/>
      </w:pPr>
    </w:p>
    <w:p w14:paraId="291D7049" w14:textId="221171EA" w:rsidR="002E3352" w:rsidRDefault="002E3352" w:rsidP="00A85ECB">
      <w:pPr>
        <w:pStyle w:val="06-Pargrafodetexto-CLG"/>
      </w:pPr>
      <w:r>
        <w:tab/>
      </w:r>
      <w:r>
        <w:tab/>
      </w:r>
      <w:r>
        <w:tab/>
      </w:r>
      <w:r>
        <w:tab/>
      </w:r>
      <w:r>
        <w:tab/>
        <w:t>, Relator</w:t>
      </w:r>
      <w:r>
        <w:tab/>
      </w:r>
    </w:p>
    <w:p w14:paraId="137AE0F9" w14:textId="3AF792E5" w:rsidR="00993FD5" w:rsidRPr="002E3352" w:rsidRDefault="002E3352" w:rsidP="00A85ECB">
      <w:pPr>
        <w:pStyle w:val="06-Pargrafodetexto-CLG"/>
      </w:pPr>
      <w:r>
        <w:t xml:space="preserve"> </w:t>
      </w:r>
    </w:p>
    <w:p w14:paraId="6C155B04" w14:textId="77777777" w:rsidR="00993FD5" w:rsidRDefault="00993FD5" w:rsidP="00993FD5">
      <w:pPr>
        <w:pStyle w:val="06-Pargrafodetexto-CLG"/>
        <w:ind w:firstLine="1134"/>
        <w:jc w:val="left"/>
        <w:rPr>
          <w:b/>
        </w:rPr>
      </w:pPr>
    </w:p>
    <w:p w14:paraId="1993C3F9" w14:textId="77777777" w:rsidR="00993FD5" w:rsidRDefault="00993FD5" w:rsidP="00A85ECB">
      <w:pPr>
        <w:pStyle w:val="06-Pargrafodetexto-CLG"/>
        <w:rPr>
          <w:b/>
        </w:rPr>
      </w:pPr>
    </w:p>
    <w:p w14:paraId="54D1E63F" w14:textId="77777777" w:rsidR="00993FD5" w:rsidRPr="00A358B0" w:rsidRDefault="00993FD5" w:rsidP="00A85ECB">
      <w:pPr>
        <w:pStyle w:val="06-Pargrafodetexto-CLG"/>
        <w:rPr>
          <w:b/>
        </w:rPr>
      </w:pPr>
    </w:p>
    <w:sectPr w:rsidR="00993FD5" w:rsidRPr="00A358B0" w:rsidSect="00A85EC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44FD" w14:textId="77777777" w:rsidR="004C0A94" w:rsidRDefault="004C0A94" w:rsidP="00A85ECB">
      <w:pPr>
        <w:spacing w:after="0" w:line="240" w:lineRule="auto"/>
      </w:pPr>
      <w:r>
        <w:separator/>
      </w:r>
    </w:p>
  </w:endnote>
  <w:endnote w:type="continuationSeparator" w:id="0">
    <w:p w14:paraId="4C736ED1" w14:textId="77777777" w:rsidR="004C0A94" w:rsidRDefault="004C0A94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4AEF" w14:textId="77777777" w:rsidR="00D11C2C" w:rsidRDefault="005C0FDC">
    <w:pPr>
      <w:pStyle w:val="Rodap"/>
      <w:rPr>
        <w:i/>
        <w:sz w:val="18"/>
      </w:rPr>
    </w:pPr>
    <w:r w:rsidRPr="005C0FDC">
      <w:rPr>
        <w:i/>
        <w:sz w:val="18"/>
        <w:szCs w:val="18"/>
      </w:rPr>
      <w:t>es2015-13903</w:t>
    </w:r>
    <w:r w:rsidR="00385A9D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D8BF" w14:textId="77777777" w:rsidR="00D11C2C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BA72" w14:textId="77777777" w:rsidR="004C0A94" w:rsidRDefault="004C0A94" w:rsidP="00A85ECB">
      <w:pPr>
        <w:spacing w:after="0" w:line="240" w:lineRule="auto"/>
      </w:pPr>
      <w:r>
        <w:separator/>
      </w:r>
    </w:p>
  </w:footnote>
  <w:footnote w:type="continuationSeparator" w:id="0">
    <w:p w14:paraId="2DFE599B" w14:textId="77777777" w:rsidR="004C0A94" w:rsidRDefault="004C0A94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43A8" w14:textId="77777777" w:rsidR="00D11C2C" w:rsidRDefault="0003485E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FA7121" w14:textId="77777777" w:rsidR="00D11C2C" w:rsidRDefault="00B970EB">
    <w:pPr>
      <w:pStyle w:val="Cabealho"/>
      <w:ind w:right="360"/>
    </w:pPr>
  </w:p>
  <w:p w14:paraId="42D2C472" w14:textId="77777777" w:rsidR="00D11C2C" w:rsidRDefault="00B970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CD11" w14:textId="77777777" w:rsidR="00D11C2C" w:rsidRDefault="0003485E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70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57E098" w14:textId="77777777" w:rsidR="00D11C2C" w:rsidRDefault="00B970EB">
    <w:pPr>
      <w:pStyle w:val="Cabealho"/>
      <w:ind w:right="360"/>
    </w:pPr>
  </w:p>
  <w:p w14:paraId="5D4FCB68" w14:textId="77777777" w:rsidR="00D11C2C" w:rsidRDefault="00B97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B"/>
    <w:rsid w:val="0003485E"/>
    <w:rsid w:val="00055CBB"/>
    <w:rsid w:val="0007300D"/>
    <w:rsid w:val="001234EB"/>
    <w:rsid w:val="0013646E"/>
    <w:rsid w:val="0014058C"/>
    <w:rsid w:val="001617DE"/>
    <w:rsid w:val="0019646D"/>
    <w:rsid w:val="001F7438"/>
    <w:rsid w:val="002029DB"/>
    <w:rsid w:val="002E3352"/>
    <w:rsid w:val="002F08FB"/>
    <w:rsid w:val="003534BB"/>
    <w:rsid w:val="00385A9D"/>
    <w:rsid w:val="003B6BA9"/>
    <w:rsid w:val="003C0857"/>
    <w:rsid w:val="003C5949"/>
    <w:rsid w:val="003F695A"/>
    <w:rsid w:val="004254A4"/>
    <w:rsid w:val="0048265E"/>
    <w:rsid w:val="004C0A94"/>
    <w:rsid w:val="004D4188"/>
    <w:rsid w:val="004E167B"/>
    <w:rsid w:val="004F1DD6"/>
    <w:rsid w:val="0050661C"/>
    <w:rsid w:val="005079CB"/>
    <w:rsid w:val="005427DE"/>
    <w:rsid w:val="0055336D"/>
    <w:rsid w:val="0059291D"/>
    <w:rsid w:val="005C0FDC"/>
    <w:rsid w:val="005F66EF"/>
    <w:rsid w:val="00666B40"/>
    <w:rsid w:val="00691378"/>
    <w:rsid w:val="006B2AD4"/>
    <w:rsid w:val="007720D3"/>
    <w:rsid w:val="00786E12"/>
    <w:rsid w:val="00796409"/>
    <w:rsid w:val="007F6C25"/>
    <w:rsid w:val="00800E94"/>
    <w:rsid w:val="00806347"/>
    <w:rsid w:val="008515A0"/>
    <w:rsid w:val="008707F5"/>
    <w:rsid w:val="008A5696"/>
    <w:rsid w:val="008D22A3"/>
    <w:rsid w:val="008F2B91"/>
    <w:rsid w:val="00957CF0"/>
    <w:rsid w:val="00993FD5"/>
    <w:rsid w:val="00A070DD"/>
    <w:rsid w:val="00A27EFF"/>
    <w:rsid w:val="00A358B0"/>
    <w:rsid w:val="00A85ECB"/>
    <w:rsid w:val="00B26EDC"/>
    <w:rsid w:val="00B44A19"/>
    <w:rsid w:val="00B5322A"/>
    <w:rsid w:val="00B57CDF"/>
    <w:rsid w:val="00B95C16"/>
    <w:rsid w:val="00B970EB"/>
    <w:rsid w:val="00C218D0"/>
    <w:rsid w:val="00C37084"/>
    <w:rsid w:val="00C54477"/>
    <w:rsid w:val="00CE1466"/>
    <w:rsid w:val="00CF4AAD"/>
    <w:rsid w:val="00D20B94"/>
    <w:rsid w:val="00E241F7"/>
    <w:rsid w:val="00E765C3"/>
    <w:rsid w:val="00EA4913"/>
    <w:rsid w:val="00EC05B2"/>
    <w:rsid w:val="00ED38EE"/>
    <w:rsid w:val="00F16A3C"/>
    <w:rsid w:val="00F56077"/>
    <w:rsid w:val="00FA009E"/>
    <w:rsid w:val="00FA22FA"/>
    <w:rsid w:val="00FD0860"/>
    <w:rsid w:val="00FD695B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45F9D"/>
  <w15:docId w15:val="{FD5FB1DB-48D6-4EFA-BFE8-B1C0878E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85ECB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A85ECB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A85ECB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rsid w:val="00A85E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A85ECB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A85ECB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A85ECB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0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0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900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CONLEG - Consultoria Legislativa do Senado Federal</dc:creator>
  <cp:lastModifiedBy>Carolina Reis Bazzo da Riva</cp:lastModifiedBy>
  <cp:revision>2</cp:revision>
  <dcterms:created xsi:type="dcterms:W3CDTF">2016-02-24T14:47:00Z</dcterms:created>
  <dcterms:modified xsi:type="dcterms:W3CDTF">2016-02-24T14:47:00Z</dcterms:modified>
</cp:coreProperties>
</file>