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8A" w:rsidRPr="00782E98" w:rsidRDefault="00A9108A" w:rsidP="001A5752">
      <w:pPr>
        <w:pStyle w:val="Ttulodanota"/>
        <w:rPr>
          <w:rFonts w:ascii="Arial" w:hAnsi="Arial" w:cs="Arial"/>
        </w:rPr>
      </w:pPr>
      <w:bookmarkStart w:id="0" w:name="_GoBack"/>
      <w:bookmarkEnd w:id="0"/>
      <w:r w:rsidRPr="00782E98">
        <w:rPr>
          <w:rFonts w:ascii="Arial" w:hAnsi="Arial" w:cs="Arial"/>
        </w:rPr>
        <w:t>Nota Técnica de Adequação Orçamentária e Financeira n</w:t>
      </w:r>
      <w:r w:rsidR="00026F4A" w:rsidRPr="00782E98">
        <w:rPr>
          <w:rFonts w:ascii="Arial" w:hAnsi="Arial" w:cs="Arial"/>
        </w:rPr>
        <w:t>º</w:t>
      </w:r>
      <w:r w:rsidR="00E1223E" w:rsidRPr="00782E98">
        <w:rPr>
          <w:rFonts w:ascii="Arial" w:hAnsi="Arial" w:cs="Arial"/>
        </w:rPr>
        <w:t xml:space="preserve"> </w:t>
      </w:r>
      <w:r w:rsidR="00D75131">
        <w:rPr>
          <w:rFonts w:ascii="Arial" w:hAnsi="Arial" w:cs="Arial"/>
        </w:rPr>
        <w:t>06</w:t>
      </w:r>
      <w:r w:rsidR="009B0B98" w:rsidRPr="00782E98">
        <w:rPr>
          <w:rFonts w:ascii="Arial" w:hAnsi="Arial" w:cs="Arial"/>
        </w:rPr>
        <w:t>/201</w:t>
      </w:r>
      <w:r w:rsidR="004A1683">
        <w:rPr>
          <w:rFonts w:ascii="Arial" w:hAnsi="Arial" w:cs="Arial"/>
        </w:rPr>
        <w:t>6</w:t>
      </w:r>
    </w:p>
    <w:p w:rsidR="004B6D0E" w:rsidRPr="00782E98" w:rsidRDefault="004B6D0E" w:rsidP="004B6D0E">
      <w:pPr>
        <w:spacing w:after="0" w:line="240" w:lineRule="auto"/>
        <w:jc w:val="right"/>
        <w:rPr>
          <w:rFonts w:cs="Arial"/>
          <w:szCs w:val="24"/>
        </w:rPr>
      </w:pPr>
    </w:p>
    <w:p w:rsidR="00A9108A" w:rsidRPr="00782E98" w:rsidRDefault="004B6D0E" w:rsidP="004B6D0E">
      <w:pPr>
        <w:spacing w:after="0" w:line="240" w:lineRule="auto"/>
        <w:jc w:val="right"/>
        <w:rPr>
          <w:rFonts w:cs="Arial"/>
          <w:szCs w:val="24"/>
        </w:rPr>
      </w:pPr>
      <w:r w:rsidRPr="00782E98">
        <w:rPr>
          <w:rFonts w:cs="Arial"/>
          <w:szCs w:val="24"/>
        </w:rPr>
        <w:t xml:space="preserve">Brasília, </w:t>
      </w:r>
      <w:r w:rsidR="00B74C75">
        <w:rPr>
          <w:rFonts w:cs="Arial"/>
          <w:szCs w:val="24"/>
        </w:rPr>
        <w:t>7</w:t>
      </w:r>
      <w:r w:rsidR="00B74C75" w:rsidRPr="00782E98">
        <w:rPr>
          <w:rFonts w:cs="Arial"/>
          <w:szCs w:val="24"/>
        </w:rPr>
        <w:t xml:space="preserve"> </w:t>
      </w:r>
      <w:r w:rsidR="00A9108A" w:rsidRPr="00782E98">
        <w:rPr>
          <w:rFonts w:cs="Arial"/>
          <w:szCs w:val="24"/>
        </w:rPr>
        <w:t xml:space="preserve">de </w:t>
      </w:r>
      <w:r w:rsidR="00B74C75">
        <w:rPr>
          <w:rFonts w:cs="Arial"/>
          <w:szCs w:val="24"/>
        </w:rPr>
        <w:t>janeiro</w:t>
      </w:r>
      <w:r w:rsidR="00B74C75" w:rsidRPr="00782E98">
        <w:rPr>
          <w:rFonts w:cs="Arial"/>
          <w:szCs w:val="24"/>
        </w:rPr>
        <w:t xml:space="preserve"> </w:t>
      </w:r>
      <w:r w:rsidR="00A9108A" w:rsidRPr="00782E98">
        <w:rPr>
          <w:rFonts w:cs="Arial"/>
          <w:szCs w:val="24"/>
        </w:rPr>
        <w:t xml:space="preserve">de </w:t>
      </w:r>
      <w:r w:rsidR="00020284" w:rsidRPr="00782E98">
        <w:rPr>
          <w:rFonts w:cs="Arial"/>
          <w:szCs w:val="24"/>
        </w:rPr>
        <w:t>201</w:t>
      </w:r>
      <w:r w:rsidR="00020284">
        <w:rPr>
          <w:rFonts w:cs="Arial"/>
          <w:szCs w:val="24"/>
        </w:rPr>
        <w:t>6</w:t>
      </w:r>
      <w:r w:rsidR="00A9108A" w:rsidRPr="00782E98">
        <w:rPr>
          <w:rFonts w:cs="Arial"/>
          <w:szCs w:val="24"/>
        </w:rPr>
        <w:t>.</w:t>
      </w:r>
    </w:p>
    <w:p w:rsidR="004B6D0E" w:rsidRPr="00782E98" w:rsidRDefault="004B6D0E" w:rsidP="004B6D0E">
      <w:pPr>
        <w:spacing w:after="0" w:line="240" w:lineRule="auto"/>
        <w:jc w:val="right"/>
        <w:rPr>
          <w:rFonts w:cs="Arial"/>
          <w:szCs w:val="24"/>
        </w:rPr>
      </w:pPr>
    </w:p>
    <w:p w:rsidR="001A5752" w:rsidRPr="00782E98" w:rsidRDefault="001A5752" w:rsidP="004B6D0E">
      <w:pPr>
        <w:spacing w:after="0" w:line="240" w:lineRule="auto"/>
        <w:jc w:val="right"/>
        <w:rPr>
          <w:rFonts w:cs="Arial"/>
          <w:szCs w:val="24"/>
        </w:rPr>
      </w:pPr>
    </w:p>
    <w:p w:rsidR="00A9108A" w:rsidRPr="00782E98" w:rsidRDefault="00A9108A" w:rsidP="004B6D0E">
      <w:pPr>
        <w:pStyle w:val="ementa"/>
        <w:spacing w:after="0"/>
      </w:pPr>
      <w:r w:rsidRPr="00782E98">
        <w:rPr>
          <w:b/>
        </w:rPr>
        <w:t>Assunto</w:t>
      </w:r>
      <w:r w:rsidR="00782E5C" w:rsidRPr="00782E98">
        <w:t>: S</w:t>
      </w:r>
      <w:r w:rsidRPr="00782E98">
        <w:t>ubsídios para análise da adeq</w:t>
      </w:r>
      <w:r w:rsidR="00782E5C" w:rsidRPr="00782E98">
        <w:t xml:space="preserve">uação orçamentária e financeira </w:t>
      </w:r>
      <w:r w:rsidRPr="00782E98">
        <w:t xml:space="preserve">da Medida Provisória </w:t>
      </w:r>
      <w:r w:rsidR="00DD41AD" w:rsidRPr="00782E98">
        <w:br/>
      </w:r>
      <w:r w:rsidR="00A701AF" w:rsidRPr="00782E98">
        <w:t>nº</w:t>
      </w:r>
      <w:r w:rsidR="00F63DCD" w:rsidRPr="00782E98">
        <w:t xml:space="preserve"> </w:t>
      </w:r>
      <w:r w:rsidR="00441676">
        <w:t>708</w:t>
      </w:r>
      <w:r w:rsidRPr="00782E98">
        <w:t xml:space="preserve">, de </w:t>
      </w:r>
      <w:r w:rsidR="00441676">
        <w:t>30</w:t>
      </w:r>
      <w:r w:rsidR="00441676" w:rsidRPr="00782E98">
        <w:t xml:space="preserve"> </w:t>
      </w:r>
      <w:r w:rsidRPr="00782E98">
        <w:t xml:space="preserve">de </w:t>
      </w:r>
      <w:r w:rsidR="0060288B" w:rsidRPr="00782E98">
        <w:t xml:space="preserve">dezembro </w:t>
      </w:r>
      <w:r w:rsidRPr="00782E98">
        <w:t>de 201</w:t>
      </w:r>
      <w:r w:rsidR="003C1BE5" w:rsidRPr="00782E98">
        <w:t>5</w:t>
      </w:r>
      <w:r w:rsidRPr="00782E98">
        <w:t xml:space="preserve">, que </w:t>
      </w:r>
      <w:r w:rsidRPr="00441676">
        <w:rPr>
          <w:i/>
        </w:rPr>
        <w:t>“</w:t>
      </w:r>
      <w:r w:rsidR="00441676" w:rsidRPr="00441676">
        <w:rPr>
          <w:i/>
        </w:rPr>
        <w:t>Autoriza a União a reincorporar os trechos de rodovias federais transferidos aos Estados e ao Distrito Federal por força da Medida Provisória nº 82, de 7 de dezembro de 2002”</w:t>
      </w:r>
      <w:r w:rsidR="00441676" w:rsidRPr="00441676">
        <w:rPr>
          <w:rFonts w:ascii="Lucida Sans Unicode" w:hAnsi="Lucida Sans Unicode" w:cs="Lucida Sans Unicode"/>
          <w:i/>
          <w:color w:val="333333"/>
          <w:sz w:val="21"/>
          <w:szCs w:val="21"/>
          <w:shd w:val="clear" w:color="auto" w:fill="FFFFFF"/>
        </w:rPr>
        <w:t>.</w:t>
      </w:r>
    </w:p>
    <w:p w:rsidR="00A9108A" w:rsidRPr="00782E98" w:rsidRDefault="00A9108A" w:rsidP="004B6D0E">
      <w:pPr>
        <w:spacing w:after="0" w:line="240" w:lineRule="auto"/>
        <w:ind w:left="3402"/>
        <w:rPr>
          <w:rFonts w:cs="Arial"/>
          <w:szCs w:val="24"/>
          <w:highlight w:val="yellow"/>
        </w:rPr>
      </w:pPr>
    </w:p>
    <w:p w:rsidR="00A9108A" w:rsidRPr="00782E98" w:rsidRDefault="00A9108A" w:rsidP="004B6D0E">
      <w:pPr>
        <w:pStyle w:val="ementa"/>
        <w:spacing w:after="0"/>
      </w:pPr>
      <w:r w:rsidRPr="00782E98">
        <w:rPr>
          <w:b/>
        </w:rPr>
        <w:t>Interessad</w:t>
      </w:r>
      <w:r w:rsidR="003C1BE5" w:rsidRPr="00782E98">
        <w:rPr>
          <w:b/>
        </w:rPr>
        <w:t>o</w:t>
      </w:r>
      <w:r w:rsidRPr="00782E98">
        <w:t xml:space="preserve">: Comissão Mista </w:t>
      </w:r>
      <w:r w:rsidR="003C1BE5" w:rsidRPr="00782E98">
        <w:t xml:space="preserve">de </w:t>
      </w:r>
      <w:r w:rsidR="00785CC4" w:rsidRPr="00782E98">
        <w:t>Medida Provisória.</w:t>
      </w:r>
    </w:p>
    <w:p w:rsidR="004F3221" w:rsidRPr="00782E98" w:rsidRDefault="004F3221" w:rsidP="00371B73">
      <w:pPr>
        <w:autoSpaceDE w:val="0"/>
        <w:autoSpaceDN w:val="0"/>
        <w:adjustRightInd w:val="0"/>
        <w:ind w:left="3402"/>
        <w:rPr>
          <w:rFonts w:cs="Arial"/>
          <w:b/>
          <w:szCs w:val="24"/>
        </w:rPr>
      </w:pPr>
    </w:p>
    <w:p w:rsidR="00B74C75" w:rsidRPr="00782E98" w:rsidRDefault="00A9108A" w:rsidP="004B6D0E">
      <w:pPr>
        <w:pStyle w:val="Ttulo1"/>
        <w:spacing w:line="240" w:lineRule="auto"/>
        <w:rPr>
          <w:rFonts w:cs="Arial"/>
          <w:sz w:val="24"/>
          <w:szCs w:val="24"/>
        </w:rPr>
      </w:pPr>
      <w:r w:rsidRPr="00782E98">
        <w:rPr>
          <w:rFonts w:cs="Arial"/>
          <w:sz w:val="24"/>
          <w:szCs w:val="24"/>
        </w:rPr>
        <w:t>Introdução</w:t>
      </w:r>
    </w:p>
    <w:p w:rsidR="00782E98" w:rsidRDefault="00782E98" w:rsidP="00B74C75">
      <w:pPr>
        <w:ind w:firstLine="708"/>
        <w:rPr>
          <w:rFonts w:cs="Arial"/>
          <w:szCs w:val="24"/>
        </w:rPr>
      </w:pPr>
    </w:p>
    <w:p w:rsidR="00B74C75" w:rsidRPr="00782E98" w:rsidRDefault="00B74C75" w:rsidP="00B74C75">
      <w:pPr>
        <w:ind w:firstLine="708"/>
        <w:rPr>
          <w:rFonts w:cs="Arial"/>
          <w:szCs w:val="24"/>
        </w:rPr>
      </w:pPr>
      <w:r w:rsidRPr="00782E98">
        <w:rPr>
          <w:rFonts w:cs="Arial"/>
          <w:szCs w:val="24"/>
        </w:rPr>
        <w:t>A presente nota técnica atende à determinação constante do art. 19 da Resolução nº 1, de 2002-CN, que estabelece:</w:t>
      </w:r>
    </w:p>
    <w:p w:rsidR="00B74C75" w:rsidRPr="00782E98" w:rsidRDefault="00B74C75" w:rsidP="006E44D3">
      <w:pPr>
        <w:ind w:left="2310" w:firstLine="0"/>
        <w:rPr>
          <w:rFonts w:cs="Arial"/>
          <w:iCs/>
          <w:sz w:val="22"/>
          <w:szCs w:val="22"/>
        </w:rPr>
      </w:pPr>
      <w:r w:rsidRPr="00782E98">
        <w:rPr>
          <w:rFonts w:cs="Arial"/>
          <w:iCs/>
          <w:sz w:val="22"/>
          <w:szCs w:val="22"/>
        </w:rPr>
        <w:t>Art. 19. O órgão de consultoria e assessoramento orçamentário da Casa a que pertencer o Relator da Medida Provisória encaminhará aos Relatores e à Comissão, no prazo de 5 (cinco) dias de sua publicação, nota técnica com subsídios acerca da adequação financeira e orçamentária de Medida Provisória.</w:t>
      </w:r>
    </w:p>
    <w:p w:rsidR="00B74C75" w:rsidRPr="0045230A" w:rsidRDefault="00B74C75" w:rsidP="00B74C75">
      <w:pPr>
        <w:pStyle w:val="Recuodecorpodetexto2"/>
        <w:rPr>
          <w:rFonts w:ascii="Arial" w:hAnsi="Arial" w:cs="Arial"/>
          <w:b w:val="0"/>
          <w:i/>
          <w:color w:val="auto"/>
          <w:sz w:val="20"/>
          <w:szCs w:val="24"/>
        </w:rPr>
      </w:pPr>
      <w:r w:rsidRPr="0045230A">
        <w:rPr>
          <w:rFonts w:ascii="Arial" w:hAnsi="Arial" w:cs="Arial"/>
          <w:b w:val="0"/>
          <w:i/>
          <w:color w:val="auto"/>
          <w:szCs w:val="24"/>
        </w:rPr>
        <w:t>De acordo com o art. 62, § 9º, a Constituição Federal determina que caberá a uma comissão mista de Deputados e Senadores examinar as medidas provisórias e sobre elas emitir parecer, antes de serem apreciadas, em sessões separadas, pelo Plenário de cada uma das Casas do Congresso Nacional.</w:t>
      </w:r>
    </w:p>
    <w:p w:rsidR="00B74C75" w:rsidRPr="00782E98" w:rsidRDefault="00B74C75" w:rsidP="00B74C75">
      <w:pPr>
        <w:ind w:firstLine="708"/>
        <w:rPr>
          <w:rFonts w:cs="Arial"/>
          <w:szCs w:val="24"/>
        </w:rPr>
      </w:pPr>
      <w:r w:rsidRPr="00782E98">
        <w:rPr>
          <w:rFonts w:cs="Arial"/>
          <w:szCs w:val="24"/>
        </w:rPr>
        <w:lastRenderedPageBreak/>
        <w:t>Ademais nota técnica deve atender ao disposto no art. 5º, § 1º, da resolução nº 1, de 2002-CN, que prescreve os requisitos a serem abordados quando do exame de compatibilidade e adequação orçamentária e financeira: “</w:t>
      </w:r>
      <w:r w:rsidRPr="00782E98">
        <w:rPr>
          <w:rFonts w:cs="Arial"/>
          <w:i/>
          <w:iCs/>
          <w:szCs w:val="24"/>
        </w:rPr>
        <w:t xml:space="preserve">análise da repercussão sobre a receita ou a despesa pública da União e da implicação quanto ao atendimento das normas orçamentárias e financeiras vigentes, em especial a conformidade com a Lei Complementar nº 101, de </w:t>
      </w:r>
      <w:smartTag w:uri="urn:schemas-microsoft-com:office:smarttags" w:element="metricconverter">
        <w:smartTagPr>
          <w:attr w:name="ProductID" w:val="2000, a"/>
        </w:smartTagPr>
        <w:r w:rsidRPr="00782E98">
          <w:rPr>
            <w:rFonts w:cs="Arial"/>
            <w:i/>
            <w:iCs/>
            <w:szCs w:val="24"/>
          </w:rPr>
          <w:t>2000, a</w:t>
        </w:r>
      </w:smartTag>
      <w:r w:rsidRPr="00782E98">
        <w:rPr>
          <w:rFonts w:cs="Arial"/>
          <w:i/>
          <w:iCs/>
          <w:szCs w:val="24"/>
        </w:rPr>
        <w:t xml:space="preserve"> lei do plano plurianual, a lei de diretrizes orçamentárias e a lei orçamentária da União</w:t>
      </w:r>
      <w:r w:rsidRPr="00782E98">
        <w:rPr>
          <w:rFonts w:cs="Arial"/>
          <w:szCs w:val="24"/>
        </w:rPr>
        <w:t>”.</w:t>
      </w:r>
    </w:p>
    <w:p w:rsidR="00B74C75" w:rsidRDefault="00B74C75" w:rsidP="00B74C75">
      <w:pPr>
        <w:ind w:firstLine="708"/>
        <w:rPr>
          <w:rFonts w:cs="Arial"/>
          <w:szCs w:val="24"/>
        </w:rPr>
      </w:pPr>
      <w:r w:rsidRPr="00782E98">
        <w:rPr>
          <w:rFonts w:cs="Arial"/>
          <w:szCs w:val="24"/>
        </w:rPr>
        <w:t>Para a apreciação da medida provisória em questão compete a esta Consultoria de Orçamentos, Fiscalização e Controle elaborar a respectiva nota técnica acerca de sua adequação orçamentária e financeira.</w:t>
      </w:r>
    </w:p>
    <w:p w:rsidR="00782E98" w:rsidRPr="00782E98" w:rsidRDefault="00782E98" w:rsidP="00B74C75">
      <w:pPr>
        <w:ind w:firstLine="708"/>
        <w:rPr>
          <w:rFonts w:cs="Arial"/>
          <w:szCs w:val="24"/>
        </w:rPr>
      </w:pPr>
    </w:p>
    <w:p w:rsidR="00B74C75" w:rsidRPr="00782E98" w:rsidRDefault="00B74C75" w:rsidP="00B74C75">
      <w:pPr>
        <w:pStyle w:val="Ttulo1"/>
        <w:spacing w:line="240" w:lineRule="auto"/>
        <w:rPr>
          <w:rFonts w:cs="Arial"/>
          <w:sz w:val="24"/>
          <w:szCs w:val="24"/>
        </w:rPr>
      </w:pPr>
      <w:r w:rsidRPr="00782E98">
        <w:rPr>
          <w:rFonts w:cs="Arial"/>
          <w:sz w:val="24"/>
          <w:szCs w:val="24"/>
        </w:rPr>
        <w:t>Síntese da Medida Provisória</w:t>
      </w:r>
    </w:p>
    <w:p w:rsidR="00A9108A" w:rsidRPr="00782E98" w:rsidRDefault="00A9108A" w:rsidP="00B74C75">
      <w:pPr>
        <w:pStyle w:val="Ttulo1"/>
        <w:numPr>
          <w:ilvl w:val="0"/>
          <w:numId w:val="0"/>
        </w:numPr>
        <w:spacing w:line="240" w:lineRule="auto"/>
        <w:ind w:left="432"/>
        <w:rPr>
          <w:rFonts w:cs="Arial"/>
          <w:sz w:val="24"/>
          <w:szCs w:val="24"/>
        </w:rPr>
      </w:pPr>
    </w:p>
    <w:p w:rsidR="00137AC1" w:rsidRPr="00782E98" w:rsidRDefault="00EF7D8A" w:rsidP="00782E98">
      <w:pPr>
        <w:ind w:firstLine="708"/>
        <w:rPr>
          <w:rFonts w:cs="Arial"/>
          <w:i/>
          <w:iCs/>
          <w:szCs w:val="24"/>
        </w:rPr>
      </w:pPr>
      <w:r w:rsidRPr="00782E98">
        <w:rPr>
          <w:rFonts w:cs="Arial"/>
          <w:szCs w:val="24"/>
        </w:rPr>
        <w:t>A Excelentíssima Senhora Presidente da República submete ao Congresso Nacional, c</w:t>
      </w:r>
      <w:r w:rsidR="00051A21" w:rsidRPr="00782E98">
        <w:rPr>
          <w:rFonts w:cs="Arial"/>
          <w:szCs w:val="24"/>
        </w:rPr>
        <w:t xml:space="preserve">om </w:t>
      </w:r>
      <w:r w:rsidR="00137AC1" w:rsidRPr="00782E98">
        <w:rPr>
          <w:rFonts w:cs="Arial"/>
          <w:szCs w:val="24"/>
        </w:rPr>
        <w:t xml:space="preserve">esteio </w:t>
      </w:r>
      <w:r w:rsidR="00051A21" w:rsidRPr="00782E98">
        <w:rPr>
          <w:rFonts w:cs="Arial"/>
          <w:szCs w:val="24"/>
        </w:rPr>
        <w:t>no art. 62 da Constituição</w:t>
      </w:r>
      <w:r w:rsidR="009C5872" w:rsidRPr="00782E98">
        <w:rPr>
          <w:rFonts w:cs="Arial"/>
          <w:szCs w:val="24"/>
        </w:rPr>
        <w:t xml:space="preserve"> Federal, a Medida Provisória </w:t>
      </w:r>
      <w:r w:rsidR="0060288B" w:rsidRPr="00782E98">
        <w:rPr>
          <w:rFonts w:cs="Arial"/>
        </w:rPr>
        <w:t xml:space="preserve">nº </w:t>
      </w:r>
      <w:r w:rsidR="00441676">
        <w:rPr>
          <w:rFonts w:cs="Arial"/>
        </w:rPr>
        <w:t>708</w:t>
      </w:r>
      <w:r w:rsidR="0060288B" w:rsidRPr="00782E98">
        <w:rPr>
          <w:rFonts w:cs="Arial"/>
        </w:rPr>
        <w:t xml:space="preserve">, de </w:t>
      </w:r>
      <w:r w:rsidR="00441676">
        <w:rPr>
          <w:rFonts w:cs="Arial"/>
          <w:i/>
          <w:iCs/>
          <w:szCs w:val="24"/>
        </w:rPr>
        <w:t>30</w:t>
      </w:r>
      <w:r w:rsidR="00441676" w:rsidRPr="00782E98">
        <w:rPr>
          <w:rFonts w:cs="Arial"/>
          <w:i/>
          <w:iCs/>
          <w:szCs w:val="24"/>
        </w:rPr>
        <w:t xml:space="preserve"> </w:t>
      </w:r>
      <w:r w:rsidR="0060288B" w:rsidRPr="00782E98">
        <w:rPr>
          <w:rFonts w:cs="Arial"/>
          <w:i/>
          <w:iCs/>
          <w:szCs w:val="24"/>
        </w:rPr>
        <w:t xml:space="preserve">de dezembro de 2015, que </w:t>
      </w:r>
      <w:r w:rsidR="00441676" w:rsidRPr="00B76718">
        <w:rPr>
          <w:i/>
        </w:rPr>
        <w:t>“</w:t>
      </w:r>
      <w:r w:rsidR="00441676" w:rsidRPr="00B76718">
        <w:rPr>
          <w:rFonts w:cs="Arial"/>
          <w:i/>
          <w:szCs w:val="24"/>
        </w:rPr>
        <w:t>Autoriza a União a reincorporar os trechos de rodovias federais transferidos aos Estados e ao Distrito Federal por força da Medida Provisória nº 82, de 7 de dezembro de 2002</w:t>
      </w:r>
      <w:r w:rsidR="00441676" w:rsidRPr="00B76718">
        <w:rPr>
          <w:i/>
        </w:rPr>
        <w:t>”</w:t>
      </w:r>
      <w:r w:rsidR="0060288B" w:rsidRPr="00782E98">
        <w:rPr>
          <w:rFonts w:cs="Arial"/>
          <w:i/>
          <w:iCs/>
          <w:szCs w:val="24"/>
        </w:rPr>
        <w:t>.</w:t>
      </w:r>
      <w:r w:rsidR="00051A21" w:rsidRPr="00782E98" w:rsidDel="00C5497D">
        <w:rPr>
          <w:rFonts w:cs="Arial"/>
          <w:i/>
          <w:iCs/>
          <w:szCs w:val="24"/>
        </w:rPr>
        <w:t xml:space="preserve"> </w:t>
      </w:r>
    </w:p>
    <w:p w:rsidR="00312719" w:rsidRDefault="00312719" w:rsidP="00782E98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Em dezembro de 2002, foi editada a Medida Provisória nº 82, que transferia, do âmbito federal para o estadual, parte da malha rodoviária federal mediante o repasse de R$ 130.000,00 por quilometro transferido, ficando o ente recebedor da malha responsável por sua manutenção.</w:t>
      </w:r>
    </w:p>
    <w:p w:rsidR="00312719" w:rsidRDefault="00312719" w:rsidP="00782E98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À época, tal medida foi justificada em razão das diversas intervenções em rodovias federais empreendidas pelos Estados da Federação, sob a forma de obras </w:t>
      </w:r>
      <w:r>
        <w:rPr>
          <w:rFonts w:cs="Arial"/>
          <w:iCs/>
          <w:szCs w:val="24"/>
        </w:rPr>
        <w:lastRenderedPageBreak/>
        <w:t>de manutenção e de melhorias. Ademais, algumas dessas obras foram executadas por meio de convênios e com planos de trabalho e de aplicação claramente especificados, que traziam responsabilidades tanto para a União quanto para os Estados. Outro conjunto de obras foi realizado sem o abrigo de convênios e planos de trabalho e especificação, tendo sido executado por conta e risco dos Estados.</w:t>
      </w:r>
    </w:p>
    <w:p w:rsidR="0074697F" w:rsidRDefault="00312719" w:rsidP="00782E98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Em razão do exposto, foi recomendado à União a realização da transferência do domínio de tais</w:t>
      </w:r>
      <w:r w:rsidR="0074697F">
        <w:rPr>
          <w:rFonts w:cs="Arial"/>
          <w:iCs/>
          <w:szCs w:val="24"/>
        </w:rPr>
        <w:t xml:space="preserve"> rodovias federais aos </w:t>
      </w:r>
      <w:r w:rsidR="00B83949">
        <w:rPr>
          <w:rFonts w:cs="Arial"/>
          <w:iCs/>
          <w:szCs w:val="24"/>
        </w:rPr>
        <w:t>Estados</w:t>
      </w:r>
      <w:r w:rsidR="0074697F">
        <w:rPr>
          <w:rFonts w:cs="Arial"/>
          <w:iCs/>
          <w:szCs w:val="24"/>
        </w:rPr>
        <w:t>. Naquela oportunidade, mostrou-se razoável a transferência de montante pecuniário suficiente à pronta e plena continuidade das obras de manutenção e de melhorias necessária à boa conservação das rodovias objeto da transferência.</w:t>
      </w:r>
      <w:r w:rsidR="006B49D0">
        <w:rPr>
          <w:rFonts w:cs="Arial"/>
          <w:iCs/>
          <w:szCs w:val="24"/>
        </w:rPr>
        <w:t xml:space="preserve"> </w:t>
      </w:r>
      <w:r w:rsidR="0074697F">
        <w:rPr>
          <w:rFonts w:cs="Arial"/>
          <w:iCs/>
          <w:szCs w:val="24"/>
        </w:rPr>
        <w:t>Com a medida, quinze Estados da Federação manifestaram interesse em aderir à descentralização.</w:t>
      </w:r>
    </w:p>
    <w:p w:rsidR="0074697F" w:rsidRDefault="0074697F" w:rsidP="00782E98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Ocorre que, em razão das alterações promovidas</w:t>
      </w:r>
      <w:r w:rsidR="00B83949">
        <w:rPr>
          <w:rFonts w:cs="Arial"/>
          <w:iCs/>
          <w:szCs w:val="24"/>
        </w:rPr>
        <w:t xml:space="preserve"> ao longo de sua tramitação</w:t>
      </w:r>
      <w:r>
        <w:rPr>
          <w:rFonts w:cs="Arial"/>
          <w:iCs/>
          <w:szCs w:val="24"/>
        </w:rPr>
        <w:t>, o projeto de lei de conversão da aludida Medida Provisória foi integralmente vetado pelo Presidente da República à época.</w:t>
      </w:r>
    </w:p>
    <w:p w:rsidR="0074697F" w:rsidRDefault="0074697F" w:rsidP="00782E98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A partir desse momento, surgiu o impasse </w:t>
      </w:r>
      <w:r w:rsidR="006B49D0">
        <w:rPr>
          <w:rFonts w:cs="Arial"/>
          <w:iCs/>
          <w:szCs w:val="24"/>
        </w:rPr>
        <w:t>quanto à</w:t>
      </w:r>
      <w:r>
        <w:rPr>
          <w:rFonts w:cs="Arial"/>
          <w:iCs/>
          <w:szCs w:val="24"/>
        </w:rPr>
        <w:t xml:space="preserve"> responsabilidade </w:t>
      </w:r>
      <w:r w:rsidR="006B49D0">
        <w:rPr>
          <w:rFonts w:cs="Arial"/>
          <w:iCs/>
          <w:szCs w:val="24"/>
        </w:rPr>
        <w:t>da</w:t>
      </w:r>
      <w:r>
        <w:rPr>
          <w:rFonts w:cs="Arial"/>
          <w:iCs/>
          <w:szCs w:val="24"/>
        </w:rPr>
        <w:t xml:space="preserve"> manutenção das rodovias descentralizadas. Nesse cenário, foi aprovada a Lei nº 11.314, de 2006, que autorizou o Departamento Nacional de Infraestrutura de Transportes – DNIT, a destinar recursos aos referidos trechos rodoviários até 31/12/2006. Essa autorização foi prorrogada sucessivas vezes, sendo a última estabelecida pelo art. 19 da Lei nº 12.833, de 2013, para 31/12/2015.</w:t>
      </w:r>
    </w:p>
    <w:p w:rsidR="0074697F" w:rsidRDefault="006B49D0" w:rsidP="006B49D0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Ademais, conforme a EM 00182/2015 MP MT, quando da edição da Medida Provisória nº</w:t>
      </w:r>
      <w:r w:rsidR="00B83949">
        <w:rPr>
          <w:rFonts w:cs="Arial"/>
          <w:iCs/>
          <w:szCs w:val="24"/>
        </w:rPr>
        <w:t xml:space="preserve"> 82</w:t>
      </w:r>
      <w:r>
        <w:rPr>
          <w:rFonts w:cs="Arial"/>
          <w:iCs/>
          <w:szCs w:val="24"/>
        </w:rPr>
        <w:t xml:space="preserve">, diversos estados que aderiram ao programa tiveram rodovias de faixas de fronteira inclusas, em afronta ao disposto no art. 1º da Lei nº 6.634, de 1979, segundo o qual </w:t>
      </w:r>
      <w:r w:rsidRPr="006B49D0">
        <w:rPr>
          <w:rFonts w:cs="Arial"/>
          <w:iCs/>
          <w:szCs w:val="24"/>
        </w:rPr>
        <w:t>“É</w:t>
      </w:r>
      <w:r>
        <w:rPr>
          <w:rFonts w:cs="Arial"/>
          <w:iCs/>
          <w:szCs w:val="24"/>
        </w:rPr>
        <w:t xml:space="preserve"> </w:t>
      </w:r>
      <w:r w:rsidRPr="006B49D0">
        <w:rPr>
          <w:rFonts w:cs="Arial"/>
          <w:iCs/>
          <w:szCs w:val="24"/>
        </w:rPr>
        <w:t>considerada área indispensável à Segurança Nacional a faixa interna de 150 km de</w:t>
      </w:r>
      <w:r>
        <w:rPr>
          <w:rFonts w:cs="Arial"/>
          <w:iCs/>
          <w:szCs w:val="24"/>
        </w:rPr>
        <w:t xml:space="preserve"> </w:t>
      </w:r>
      <w:r w:rsidRPr="006B49D0">
        <w:rPr>
          <w:rFonts w:cs="Arial"/>
          <w:iCs/>
          <w:szCs w:val="24"/>
        </w:rPr>
        <w:t xml:space="preserve">largura, paralela à linha divisória terrestre do território </w:t>
      </w:r>
      <w:r w:rsidRPr="006B49D0">
        <w:rPr>
          <w:rFonts w:cs="Arial"/>
          <w:iCs/>
          <w:szCs w:val="24"/>
        </w:rPr>
        <w:lastRenderedPageBreak/>
        <w:t>nacional, que será designada</w:t>
      </w:r>
      <w:r>
        <w:rPr>
          <w:rFonts w:cs="Arial"/>
          <w:iCs/>
          <w:szCs w:val="24"/>
        </w:rPr>
        <w:t xml:space="preserve"> </w:t>
      </w:r>
      <w:r w:rsidRPr="006B49D0">
        <w:rPr>
          <w:rFonts w:cs="Arial"/>
          <w:iCs/>
          <w:szCs w:val="24"/>
        </w:rPr>
        <w:t>como Faixa de Fronteira”</w:t>
      </w:r>
      <w:r w:rsidR="00B83949">
        <w:rPr>
          <w:rFonts w:cs="Arial"/>
          <w:iCs/>
          <w:szCs w:val="24"/>
        </w:rPr>
        <w:t>.</w:t>
      </w:r>
      <w:r w:rsidRPr="006B49D0">
        <w:rPr>
          <w:rFonts w:cs="Arial"/>
          <w:iCs/>
          <w:szCs w:val="24"/>
        </w:rPr>
        <w:t xml:space="preserve"> Nessa situação se enquadram trechos de rodovias nos</w:t>
      </w:r>
      <w:r>
        <w:rPr>
          <w:rFonts w:cs="Arial"/>
          <w:iCs/>
          <w:szCs w:val="24"/>
        </w:rPr>
        <w:t xml:space="preserve"> </w:t>
      </w:r>
      <w:r w:rsidRPr="006B49D0">
        <w:rPr>
          <w:rFonts w:cs="Arial"/>
          <w:iCs/>
          <w:szCs w:val="24"/>
        </w:rPr>
        <w:t>Estados de Rio Grande do Sul, Paraná, Mato Grosso do Sul e Amazonas, que</w:t>
      </w:r>
      <w:r>
        <w:rPr>
          <w:rFonts w:cs="Arial"/>
          <w:iCs/>
          <w:szCs w:val="24"/>
        </w:rPr>
        <w:t xml:space="preserve"> deveriam</w:t>
      </w:r>
      <w:r w:rsidRPr="006B49D0">
        <w:rPr>
          <w:rFonts w:cs="Arial"/>
          <w:iCs/>
          <w:szCs w:val="24"/>
        </w:rPr>
        <w:t xml:space="preserve"> estar sob o domínio federal.</w:t>
      </w:r>
    </w:p>
    <w:p w:rsidR="006B49D0" w:rsidRDefault="006B49D0" w:rsidP="006B49D0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Ressalte-se ainda que determinados trechos descentralizados estão inclusos no Programa de Manifestação de Interesse, dentro da Política de Concessão Rodoviária, e, por isso, devem retornar para o domínio da União para que possa ser viabilizada sua concessão. </w:t>
      </w:r>
      <w:r w:rsidRPr="006B49D0">
        <w:rPr>
          <w:rFonts w:cs="Arial"/>
          <w:iCs/>
          <w:szCs w:val="24"/>
        </w:rPr>
        <w:t>Outro fator preponderante é que parte dessa malha, atualmente com Estados, apresenta empreendimentos relacionados no Programa de Aceleração do Crescimento - PAC, cuja conclusão de projetos e obras está prevista para data posterior a 31 de dezembro de 2015.</w:t>
      </w:r>
    </w:p>
    <w:p w:rsidR="006B49D0" w:rsidRDefault="00B83949" w:rsidP="006B49D0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Ainda de acordo Exposição de Motivos 182, a restrições orçamentárias e financeiras que estão vivenciando diversos Estados da Federação inviabilizam a destinação de verbas, por estes entes, para a execução de obras de recuperação e manutenção dos trechos rodoviários descentralizados.</w:t>
      </w:r>
    </w:p>
    <w:p w:rsidR="00B83949" w:rsidRDefault="00B83949" w:rsidP="00B83949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Por fim, </w:t>
      </w:r>
      <w:r w:rsidRPr="00B83949">
        <w:rPr>
          <w:rFonts w:cs="Arial"/>
          <w:iCs/>
          <w:szCs w:val="24"/>
        </w:rPr>
        <w:t>cabe enfatizar que a reabsorção de parte dessa malha rodoviária não</w:t>
      </w:r>
      <w:r>
        <w:rPr>
          <w:rFonts w:cs="Arial"/>
          <w:iCs/>
          <w:szCs w:val="24"/>
        </w:rPr>
        <w:t xml:space="preserve"> </w:t>
      </w:r>
      <w:r w:rsidRPr="00B83949">
        <w:rPr>
          <w:rFonts w:cs="Arial"/>
          <w:iCs/>
          <w:szCs w:val="24"/>
        </w:rPr>
        <w:t>representa a destinação de novos recursos, uma vez que os serviços de conservação e</w:t>
      </w:r>
      <w:r>
        <w:rPr>
          <w:rFonts w:cs="Arial"/>
          <w:iCs/>
          <w:szCs w:val="24"/>
        </w:rPr>
        <w:t xml:space="preserve"> </w:t>
      </w:r>
      <w:r w:rsidRPr="00B83949">
        <w:rPr>
          <w:rFonts w:cs="Arial"/>
          <w:iCs/>
          <w:szCs w:val="24"/>
        </w:rPr>
        <w:t>manutenção estão previstos no orçamento e os empreendimentos integrantes do</w:t>
      </w:r>
      <w:r>
        <w:rPr>
          <w:rFonts w:cs="Arial"/>
          <w:iCs/>
          <w:szCs w:val="24"/>
        </w:rPr>
        <w:t xml:space="preserve"> </w:t>
      </w:r>
      <w:r w:rsidRPr="00B83949">
        <w:rPr>
          <w:rFonts w:cs="Arial"/>
          <w:iCs/>
          <w:szCs w:val="24"/>
        </w:rPr>
        <w:t>Programa de Aceleração do Crescimento – PAC apresentam verbas específicas e já</w:t>
      </w:r>
      <w:r>
        <w:rPr>
          <w:rFonts w:cs="Arial"/>
          <w:iCs/>
          <w:szCs w:val="24"/>
        </w:rPr>
        <w:t xml:space="preserve"> </w:t>
      </w:r>
      <w:r w:rsidRPr="00B83949">
        <w:rPr>
          <w:rFonts w:cs="Arial"/>
          <w:iCs/>
          <w:szCs w:val="24"/>
        </w:rPr>
        <w:t>destinadas para a sua execução.</w:t>
      </w:r>
    </w:p>
    <w:p w:rsidR="0045230A" w:rsidRDefault="0045230A" w:rsidP="00B83949">
      <w:pPr>
        <w:ind w:firstLine="708"/>
        <w:rPr>
          <w:rFonts w:cs="Arial"/>
          <w:iCs/>
          <w:szCs w:val="24"/>
        </w:rPr>
      </w:pPr>
    </w:p>
    <w:p w:rsidR="00D0362B" w:rsidRPr="00782E98" w:rsidRDefault="00D0362B" w:rsidP="004B6D0E">
      <w:pPr>
        <w:pStyle w:val="Ttulo1"/>
        <w:spacing w:line="240" w:lineRule="auto"/>
        <w:rPr>
          <w:rFonts w:cs="Arial"/>
          <w:sz w:val="24"/>
          <w:szCs w:val="24"/>
        </w:rPr>
      </w:pPr>
      <w:r w:rsidRPr="00782E98">
        <w:rPr>
          <w:rFonts w:cs="Arial"/>
          <w:sz w:val="24"/>
          <w:szCs w:val="24"/>
        </w:rPr>
        <w:t xml:space="preserve">Análise </w:t>
      </w:r>
      <w:r w:rsidR="00E047B5" w:rsidRPr="00782E98">
        <w:rPr>
          <w:rFonts w:cs="Arial"/>
          <w:sz w:val="24"/>
          <w:szCs w:val="24"/>
        </w:rPr>
        <w:t xml:space="preserve">da adequação financeira e orçamentária </w:t>
      </w:r>
      <w:r w:rsidRPr="00782E98">
        <w:rPr>
          <w:rFonts w:cs="Arial"/>
          <w:sz w:val="24"/>
          <w:szCs w:val="24"/>
        </w:rPr>
        <w:t>da medida provisória</w:t>
      </w:r>
    </w:p>
    <w:p w:rsidR="00B74C75" w:rsidRPr="00B74C75" w:rsidRDefault="00B74C75" w:rsidP="00B74C75">
      <w:pPr>
        <w:rPr>
          <w:rFonts w:cs="Arial"/>
        </w:rPr>
      </w:pPr>
    </w:p>
    <w:p w:rsidR="00F63DCD" w:rsidRPr="00782E98" w:rsidRDefault="00F63DCD" w:rsidP="00782E98">
      <w:pPr>
        <w:pStyle w:val="Recuodecorpodetexto2"/>
        <w:rPr>
          <w:rFonts w:ascii="Arial" w:hAnsi="Arial" w:cs="Arial"/>
          <w:b w:val="0"/>
          <w:color w:val="auto"/>
          <w:szCs w:val="24"/>
        </w:rPr>
      </w:pPr>
      <w:r w:rsidRPr="00782E98">
        <w:rPr>
          <w:rFonts w:ascii="Arial" w:hAnsi="Arial" w:cs="Arial"/>
          <w:b w:val="0"/>
          <w:color w:val="auto"/>
          <w:szCs w:val="24"/>
        </w:rPr>
        <w:t>A estimativa de impacto fiscal das proposições que aumentem gastos públicos decorre de exigência legal. O art. 16 da Lei de Responsabilidade Fiscal – LRF (Lei Complementar n</w:t>
      </w:r>
      <w:r w:rsidR="009C5872" w:rsidRPr="00782E98">
        <w:rPr>
          <w:rFonts w:ascii="Arial" w:hAnsi="Arial" w:cs="Arial"/>
          <w:b w:val="0"/>
          <w:color w:val="auto"/>
          <w:szCs w:val="24"/>
        </w:rPr>
        <w:t>º</w:t>
      </w:r>
      <w:r w:rsidRPr="00782E98">
        <w:rPr>
          <w:rFonts w:ascii="Arial" w:hAnsi="Arial" w:cs="Arial"/>
          <w:b w:val="0"/>
          <w:color w:val="auto"/>
          <w:szCs w:val="24"/>
        </w:rPr>
        <w:t xml:space="preserve"> 101</w:t>
      </w:r>
      <w:r w:rsidR="009C5872" w:rsidRPr="00782E98">
        <w:rPr>
          <w:rFonts w:ascii="Arial" w:hAnsi="Arial" w:cs="Arial"/>
          <w:b w:val="0"/>
          <w:color w:val="auto"/>
          <w:szCs w:val="24"/>
        </w:rPr>
        <w:t>/</w:t>
      </w:r>
      <w:r w:rsidRPr="00782E98">
        <w:rPr>
          <w:rFonts w:ascii="Arial" w:hAnsi="Arial" w:cs="Arial"/>
          <w:b w:val="0"/>
          <w:color w:val="auto"/>
          <w:szCs w:val="24"/>
        </w:rPr>
        <w:t xml:space="preserve">2000) </w:t>
      </w:r>
      <w:r w:rsidR="005D63E5" w:rsidRPr="00782E98">
        <w:rPr>
          <w:rFonts w:ascii="Arial" w:hAnsi="Arial" w:cs="Arial"/>
          <w:b w:val="0"/>
          <w:color w:val="auto"/>
          <w:szCs w:val="24"/>
        </w:rPr>
        <w:t xml:space="preserve">exige </w:t>
      </w:r>
      <w:r w:rsidRPr="00782E98">
        <w:rPr>
          <w:rFonts w:ascii="Arial" w:hAnsi="Arial" w:cs="Arial"/>
          <w:b w:val="0"/>
          <w:color w:val="auto"/>
          <w:szCs w:val="24"/>
        </w:rPr>
        <w:t xml:space="preserve">que a criação, a expansão e o aperfeiçoamento de ação governamental </w:t>
      </w:r>
      <w:r w:rsidR="005D63E5" w:rsidRPr="00782E98">
        <w:rPr>
          <w:rFonts w:ascii="Arial" w:hAnsi="Arial" w:cs="Arial"/>
          <w:b w:val="0"/>
          <w:color w:val="auto"/>
          <w:szCs w:val="24"/>
        </w:rPr>
        <w:t>com</w:t>
      </w:r>
      <w:r w:rsidRPr="00782E98">
        <w:rPr>
          <w:rFonts w:ascii="Arial" w:hAnsi="Arial" w:cs="Arial"/>
          <w:b w:val="0"/>
          <w:color w:val="auto"/>
          <w:szCs w:val="24"/>
        </w:rPr>
        <w:t xml:space="preserve"> aumento da despesa </w:t>
      </w:r>
      <w:r w:rsidR="005D63E5" w:rsidRPr="00782E98">
        <w:rPr>
          <w:rFonts w:ascii="Arial" w:hAnsi="Arial" w:cs="Arial"/>
          <w:b w:val="0"/>
          <w:color w:val="auto"/>
          <w:szCs w:val="24"/>
        </w:rPr>
        <w:t xml:space="preserve">sejam </w:t>
      </w:r>
      <w:r w:rsidRPr="00782E98">
        <w:rPr>
          <w:rFonts w:ascii="Arial" w:hAnsi="Arial" w:cs="Arial"/>
          <w:b w:val="0"/>
          <w:color w:val="auto"/>
          <w:szCs w:val="24"/>
        </w:rPr>
        <w:t xml:space="preserve">acompanhados </w:t>
      </w:r>
      <w:r w:rsidR="005D63E5" w:rsidRPr="00782E98">
        <w:rPr>
          <w:rFonts w:ascii="Arial" w:hAnsi="Arial" w:cs="Arial"/>
          <w:b w:val="0"/>
          <w:color w:val="auto"/>
          <w:szCs w:val="24"/>
        </w:rPr>
        <w:t xml:space="preserve">de </w:t>
      </w:r>
      <w:r w:rsidRPr="00782E98">
        <w:rPr>
          <w:rFonts w:ascii="Arial" w:hAnsi="Arial" w:cs="Arial"/>
          <w:b w:val="0"/>
          <w:color w:val="auto"/>
          <w:szCs w:val="24"/>
        </w:rPr>
        <w:t xml:space="preserve">estimativa do impacto orçamentário-financeiro no exercício em que devam entrar em vigor e nos dois subsequentes. </w:t>
      </w:r>
    </w:p>
    <w:p w:rsidR="00F63DCD" w:rsidRPr="00782E98" w:rsidRDefault="0083585E" w:rsidP="00782E98">
      <w:pPr>
        <w:pStyle w:val="Recuodecorpodetexto2"/>
        <w:rPr>
          <w:rFonts w:ascii="Arial" w:hAnsi="Arial" w:cs="Arial"/>
          <w:b w:val="0"/>
          <w:color w:val="auto"/>
          <w:szCs w:val="24"/>
        </w:rPr>
      </w:pPr>
      <w:r w:rsidRPr="00782E98">
        <w:rPr>
          <w:rFonts w:ascii="Arial" w:hAnsi="Arial" w:cs="Arial"/>
          <w:b w:val="0"/>
          <w:color w:val="auto"/>
          <w:szCs w:val="24"/>
        </w:rPr>
        <w:t>Pelo § 1º do art. 5º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 da Resolução </w:t>
      </w:r>
      <w:r w:rsidR="00C20854" w:rsidRPr="00782E98">
        <w:rPr>
          <w:rFonts w:ascii="Arial" w:hAnsi="Arial" w:cs="Arial"/>
          <w:b w:val="0"/>
          <w:color w:val="auto"/>
          <w:szCs w:val="24"/>
        </w:rPr>
        <w:t>nº</w:t>
      </w:r>
      <w:r w:rsidR="00FF74E0" w:rsidRPr="00782E98">
        <w:rPr>
          <w:rFonts w:ascii="Arial" w:hAnsi="Arial" w:cs="Arial"/>
          <w:b w:val="0"/>
          <w:color w:val="auto"/>
          <w:szCs w:val="24"/>
        </w:rPr>
        <w:t xml:space="preserve"> </w:t>
      </w:r>
      <w:r w:rsidR="00F63DCD" w:rsidRPr="00782E98">
        <w:rPr>
          <w:rFonts w:ascii="Arial" w:hAnsi="Arial" w:cs="Arial"/>
          <w:b w:val="0"/>
          <w:color w:val="auto"/>
          <w:szCs w:val="24"/>
        </w:rPr>
        <w:t>1, de 2002</w:t>
      </w:r>
      <w:r w:rsidR="00137AC1" w:rsidRPr="00782E98">
        <w:rPr>
          <w:rFonts w:ascii="Arial" w:hAnsi="Arial" w:cs="Arial"/>
          <w:b w:val="0"/>
          <w:color w:val="auto"/>
          <w:szCs w:val="24"/>
        </w:rPr>
        <w:t>-</w:t>
      </w:r>
      <w:r w:rsidR="00F63DCD" w:rsidRPr="00782E98">
        <w:rPr>
          <w:rFonts w:ascii="Arial" w:hAnsi="Arial" w:cs="Arial"/>
          <w:b w:val="0"/>
          <w:color w:val="auto"/>
          <w:szCs w:val="24"/>
        </w:rPr>
        <w:t>CN, o exame de compatibilidade orçamentária e financeira das MPs abrange a análise da repercussão</w:t>
      </w:r>
      <w:r w:rsidR="005D63E5" w:rsidRPr="00782E98">
        <w:rPr>
          <w:rFonts w:ascii="Arial" w:hAnsi="Arial" w:cs="Arial"/>
          <w:b w:val="0"/>
          <w:color w:val="auto"/>
          <w:szCs w:val="24"/>
        </w:rPr>
        <w:t xml:space="preserve"> das medidas versadas na proposição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, sobre receita </w:t>
      </w:r>
      <w:r w:rsidR="005D63E5" w:rsidRPr="00782E98">
        <w:rPr>
          <w:rFonts w:ascii="Arial" w:hAnsi="Arial" w:cs="Arial"/>
          <w:b w:val="0"/>
          <w:color w:val="auto"/>
          <w:szCs w:val="24"/>
        </w:rPr>
        <w:t xml:space="preserve">e 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despesa da União e </w:t>
      </w:r>
      <w:r w:rsidR="005D63E5" w:rsidRPr="00782E98">
        <w:rPr>
          <w:rFonts w:ascii="Arial" w:hAnsi="Arial" w:cs="Arial"/>
          <w:b w:val="0"/>
          <w:color w:val="auto"/>
          <w:szCs w:val="24"/>
        </w:rPr>
        <w:t>d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o atendimento </w:t>
      </w:r>
      <w:r w:rsidR="00137AC1" w:rsidRPr="00782E98">
        <w:rPr>
          <w:rFonts w:ascii="Arial" w:hAnsi="Arial" w:cs="Arial"/>
          <w:b w:val="0"/>
          <w:color w:val="auto"/>
          <w:szCs w:val="24"/>
        </w:rPr>
        <w:t xml:space="preserve">das 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normas orçamentárias e financeiras vigentes, em especial a LRF e as leis </w:t>
      </w:r>
      <w:r w:rsidR="00137AC1" w:rsidRPr="00782E98">
        <w:rPr>
          <w:rFonts w:ascii="Arial" w:hAnsi="Arial" w:cs="Arial"/>
          <w:b w:val="0"/>
          <w:color w:val="auto"/>
          <w:szCs w:val="24"/>
        </w:rPr>
        <w:t xml:space="preserve">de </w:t>
      </w:r>
      <w:r w:rsidR="00F63DCD" w:rsidRPr="00782E98">
        <w:rPr>
          <w:rFonts w:ascii="Arial" w:hAnsi="Arial" w:cs="Arial"/>
          <w:b w:val="0"/>
          <w:color w:val="auto"/>
          <w:szCs w:val="24"/>
        </w:rPr>
        <w:t>plano</w:t>
      </w:r>
      <w:r w:rsidR="00137AC1" w:rsidRPr="00782E98">
        <w:rPr>
          <w:rFonts w:ascii="Arial" w:hAnsi="Arial" w:cs="Arial"/>
          <w:b w:val="0"/>
          <w:color w:val="auto"/>
          <w:szCs w:val="24"/>
        </w:rPr>
        <w:t>s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 plurianua</w:t>
      </w:r>
      <w:r w:rsidR="00137AC1" w:rsidRPr="00782E98">
        <w:rPr>
          <w:rFonts w:ascii="Arial" w:hAnsi="Arial" w:cs="Arial"/>
          <w:b w:val="0"/>
          <w:color w:val="auto"/>
          <w:szCs w:val="24"/>
        </w:rPr>
        <w:t>is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, diretrizes orçamentárias e </w:t>
      </w:r>
      <w:r w:rsidR="00137AC1" w:rsidRPr="00782E98">
        <w:rPr>
          <w:rFonts w:ascii="Arial" w:hAnsi="Arial" w:cs="Arial"/>
          <w:b w:val="0"/>
          <w:color w:val="auto"/>
          <w:szCs w:val="24"/>
        </w:rPr>
        <w:t>orçamentárias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 da União. </w:t>
      </w:r>
    </w:p>
    <w:p w:rsidR="00F63DCD" w:rsidRPr="00782E98" w:rsidRDefault="0083585E" w:rsidP="00782E98">
      <w:pPr>
        <w:pStyle w:val="Recuodecorpodetexto2"/>
        <w:rPr>
          <w:rFonts w:ascii="Arial" w:hAnsi="Arial" w:cs="Arial"/>
          <w:b w:val="0"/>
          <w:color w:val="auto"/>
          <w:szCs w:val="24"/>
        </w:rPr>
      </w:pPr>
      <w:r w:rsidRPr="00782E98">
        <w:rPr>
          <w:rFonts w:ascii="Arial" w:hAnsi="Arial" w:cs="Arial"/>
          <w:b w:val="0"/>
          <w:color w:val="auto"/>
          <w:szCs w:val="24"/>
        </w:rPr>
        <w:t>O art.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 </w:t>
      </w:r>
      <w:r w:rsidR="00B83949">
        <w:rPr>
          <w:rFonts w:ascii="Arial" w:hAnsi="Arial" w:cs="Arial"/>
          <w:b w:val="0"/>
          <w:color w:val="auto"/>
          <w:szCs w:val="24"/>
        </w:rPr>
        <w:t>113</w:t>
      </w:r>
      <w:r w:rsidR="007420F2" w:rsidRPr="00782E98">
        <w:rPr>
          <w:rFonts w:ascii="Arial" w:hAnsi="Arial" w:cs="Arial"/>
          <w:b w:val="0"/>
          <w:color w:val="auto"/>
          <w:szCs w:val="24"/>
        </w:rPr>
        <w:t xml:space="preserve"> 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da Lei de Diretrizes Orçamentárias para </w:t>
      </w:r>
      <w:r w:rsidR="007420F2" w:rsidRPr="00782E98">
        <w:rPr>
          <w:rFonts w:ascii="Arial" w:hAnsi="Arial" w:cs="Arial"/>
          <w:b w:val="0"/>
          <w:color w:val="auto"/>
          <w:szCs w:val="24"/>
        </w:rPr>
        <w:t>2016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 – LDO/</w:t>
      </w:r>
      <w:r w:rsidR="00B83949">
        <w:rPr>
          <w:rFonts w:ascii="Arial" w:hAnsi="Arial" w:cs="Arial"/>
          <w:b w:val="0"/>
          <w:color w:val="auto"/>
          <w:szCs w:val="24"/>
        </w:rPr>
        <w:t>2016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 (Lei nº 13.</w:t>
      </w:r>
      <w:r w:rsidR="00B83949">
        <w:rPr>
          <w:rFonts w:ascii="Arial" w:hAnsi="Arial" w:cs="Arial"/>
          <w:b w:val="0"/>
          <w:color w:val="auto"/>
          <w:szCs w:val="24"/>
        </w:rPr>
        <w:t>242</w:t>
      </w:r>
      <w:r w:rsidRPr="00782E98">
        <w:rPr>
          <w:rFonts w:ascii="Arial" w:hAnsi="Arial" w:cs="Arial"/>
          <w:b w:val="0"/>
          <w:color w:val="auto"/>
          <w:szCs w:val="24"/>
        </w:rPr>
        <w:t>/</w:t>
      </w:r>
      <w:r w:rsidR="00B74C75" w:rsidRPr="00782E98">
        <w:rPr>
          <w:rFonts w:ascii="Arial" w:hAnsi="Arial" w:cs="Arial"/>
          <w:b w:val="0"/>
          <w:color w:val="auto"/>
          <w:szCs w:val="24"/>
        </w:rPr>
        <w:t>2016</w:t>
      </w:r>
      <w:r w:rsidR="00F63DCD" w:rsidRPr="00782E98">
        <w:rPr>
          <w:rFonts w:ascii="Arial" w:hAnsi="Arial" w:cs="Arial"/>
          <w:b w:val="0"/>
          <w:color w:val="auto"/>
          <w:szCs w:val="24"/>
        </w:rPr>
        <w:t>) reforça as determinações da LRF</w:t>
      </w:r>
      <w:r w:rsidR="00C20854" w:rsidRPr="00782E98">
        <w:rPr>
          <w:rFonts w:ascii="Arial" w:hAnsi="Arial" w:cs="Arial"/>
          <w:b w:val="0"/>
          <w:color w:val="auto"/>
          <w:szCs w:val="24"/>
        </w:rPr>
        <w:t xml:space="preserve"> e da Resolução nº</w:t>
      </w:r>
      <w:r w:rsidR="00137AC1" w:rsidRPr="00782E98">
        <w:rPr>
          <w:rFonts w:ascii="Arial" w:hAnsi="Arial" w:cs="Arial"/>
          <w:b w:val="0"/>
          <w:color w:val="auto"/>
          <w:szCs w:val="24"/>
        </w:rPr>
        <w:t xml:space="preserve"> 1, de 2002-CN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 e exige o detalhamento da memória de cálculo e da correspondente compensação, para efeito de adequação orçamentária e financeira</w:t>
      </w:r>
      <w:r w:rsidR="005D63E5" w:rsidRPr="00782E98">
        <w:rPr>
          <w:rFonts w:ascii="Arial" w:hAnsi="Arial" w:cs="Arial"/>
          <w:b w:val="0"/>
          <w:color w:val="auto"/>
          <w:szCs w:val="24"/>
        </w:rPr>
        <w:t>,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 de quaisquer proposições legislativas e respectivas emendas que, direta ou indiretamente, </w:t>
      </w:r>
      <w:r w:rsidR="00E047B5" w:rsidRPr="00782E98">
        <w:rPr>
          <w:rFonts w:ascii="Arial" w:hAnsi="Arial" w:cs="Arial"/>
          <w:b w:val="0"/>
          <w:color w:val="auto"/>
          <w:szCs w:val="24"/>
        </w:rPr>
        <w:t xml:space="preserve">diminuam 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receitas ou </w:t>
      </w:r>
      <w:r w:rsidR="00E047B5" w:rsidRPr="00782E98">
        <w:rPr>
          <w:rFonts w:ascii="Arial" w:hAnsi="Arial" w:cs="Arial"/>
          <w:b w:val="0"/>
          <w:color w:val="auto"/>
          <w:szCs w:val="24"/>
        </w:rPr>
        <w:t>aumentem</w:t>
      </w:r>
      <w:r w:rsidR="00F63DCD" w:rsidRPr="00782E98">
        <w:rPr>
          <w:rFonts w:ascii="Arial" w:hAnsi="Arial" w:cs="Arial"/>
          <w:b w:val="0"/>
          <w:color w:val="auto"/>
          <w:szCs w:val="24"/>
        </w:rPr>
        <w:t xml:space="preserve"> despesas da União.</w:t>
      </w:r>
    </w:p>
    <w:p w:rsidR="00B83949" w:rsidRDefault="007420F2" w:rsidP="00B83949">
      <w:pPr>
        <w:pStyle w:val="Recuodecorpodetexto2"/>
        <w:rPr>
          <w:rFonts w:ascii="Arial" w:hAnsi="Arial" w:cs="Arial"/>
          <w:b w:val="0"/>
          <w:color w:val="auto"/>
          <w:szCs w:val="24"/>
        </w:rPr>
      </w:pPr>
      <w:r w:rsidRPr="00782E98">
        <w:rPr>
          <w:rFonts w:ascii="Arial" w:hAnsi="Arial" w:cs="Arial"/>
          <w:b w:val="0"/>
          <w:color w:val="auto"/>
          <w:szCs w:val="24"/>
        </w:rPr>
        <w:t xml:space="preserve">Pela leitura da EMI nº </w:t>
      </w:r>
      <w:r w:rsidR="00B83949">
        <w:rPr>
          <w:rFonts w:ascii="Arial" w:hAnsi="Arial" w:cs="Arial"/>
          <w:b w:val="0"/>
          <w:color w:val="auto"/>
          <w:szCs w:val="24"/>
        </w:rPr>
        <w:t>00182</w:t>
      </w:r>
      <w:r w:rsidRPr="00782E98">
        <w:rPr>
          <w:rFonts w:ascii="Arial" w:hAnsi="Arial" w:cs="Arial"/>
          <w:b w:val="0"/>
          <w:color w:val="auto"/>
          <w:szCs w:val="24"/>
        </w:rPr>
        <w:t xml:space="preserve">/2015 fica evidente que a matéria tratada na Medida Provisória em apreciação não acarreta reflexos em receitas e despesas. Como visto, ela dispõe meramente da </w:t>
      </w:r>
      <w:r w:rsidR="00B83949">
        <w:rPr>
          <w:rFonts w:ascii="Arial" w:hAnsi="Arial" w:cs="Arial"/>
          <w:b w:val="0"/>
          <w:color w:val="auto"/>
          <w:szCs w:val="24"/>
        </w:rPr>
        <w:t>reincorporação de trechos da malha rodoviária federal que foram concedidos aos Estados e ao Distrito Federal</w:t>
      </w:r>
      <w:r w:rsidRPr="00782E98">
        <w:rPr>
          <w:rFonts w:ascii="Arial" w:hAnsi="Arial" w:cs="Arial"/>
          <w:b w:val="0"/>
          <w:color w:val="auto"/>
          <w:szCs w:val="24"/>
        </w:rPr>
        <w:t>.</w:t>
      </w:r>
      <w:r w:rsidR="00DE3D5D" w:rsidRPr="00782E98">
        <w:rPr>
          <w:rFonts w:ascii="Arial" w:hAnsi="Arial" w:cs="Arial"/>
          <w:b w:val="0"/>
          <w:color w:val="auto"/>
          <w:szCs w:val="24"/>
        </w:rPr>
        <w:t xml:space="preserve"> </w:t>
      </w:r>
      <w:r w:rsidR="00B83949">
        <w:rPr>
          <w:rFonts w:ascii="Arial" w:hAnsi="Arial" w:cs="Arial"/>
          <w:b w:val="0"/>
          <w:color w:val="auto"/>
          <w:szCs w:val="24"/>
        </w:rPr>
        <w:t xml:space="preserve">Tal conclusão pode ser extraída a partir do seguinte trecho: </w:t>
      </w:r>
      <w:r w:rsidR="00B83949" w:rsidRPr="00B83949">
        <w:rPr>
          <w:rFonts w:ascii="Arial" w:hAnsi="Arial" w:cs="Arial"/>
          <w:b w:val="0"/>
          <w:color w:val="auto"/>
          <w:szCs w:val="24"/>
        </w:rPr>
        <w:t>Importante lembrar que a reabsorção de parte dessa malha rodoviária não representa a destinação de novos recursos, uma vez que os serviços de conservação e manutenção estão previstos no orçamento e os empreendimentos integrantes do Programa de Aceleração do Crescimento – PAC apresentam verbas específicas e já destinadas para a sua execução.</w:t>
      </w:r>
    </w:p>
    <w:p w:rsidR="00436F08" w:rsidRPr="00782E98" w:rsidRDefault="00DE3D5D" w:rsidP="00782E98">
      <w:pPr>
        <w:pStyle w:val="Recuodecorpodetexto2"/>
        <w:rPr>
          <w:rFonts w:ascii="Arial" w:hAnsi="Arial" w:cs="Arial"/>
          <w:b w:val="0"/>
          <w:color w:val="auto"/>
          <w:szCs w:val="24"/>
        </w:rPr>
      </w:pPr>
      <w:r w:rsidRPr="00782E98">
        <w:rPr>
          <w:rFonts w:ascii="Arial" w:hAnsi="Arial" w:cs="Arial"/>
          <w:b w:val="0"/>
          <w:color w:val="auto"/>
          <w:szCs w:val="24"/>
        </w:rPr>
        <w:t>Portanto,</w:t>
      </w:r>
      <w:r w:rsidR="007420F2" w:rsidRPr="00782E98">
        <w:rPr>
          <w:rFonts w:ascii="Arial" w:hAnsi="Arial" w:cs="Arial"/>
          <w:b w:val="0"/>
          <w:color w:val="auto"/>
          <w:szCs w:val="24"/>
        </w:rPr>
        <w:t xml:space="preserve"> uma vez que</w:t>
      </w:r>
      <w:r w:rsidRPr="00782E98">
        <w:rPr>
          <w:rFonts w:ascii="Arial" w:hAnsi="Arial" w:cs="Arial"/>
          <w:b w:val="0"/>
          <w:color w:val="auto"/>
          <w:szCs w:val="24"/>
        </w:rPr>
        <w:t xml:space="preserve"> n</w:t>
      </w:r>
      <w:r w:rsidR="00436F08" w:rsidRPr="00782E98">
        <w:rPr>
          <w:rFonts w:ascii="Arial" w:hAnsi="Arial" w:cs="Arial"/>
          <w:b w:val="0"/>
          <w:color w:val="auto"/>
          <w:szCs w:val="24"/>
        </w:rPr>
        <w:t xml:space="preserve">ão haverá renúncia de receita </w:t>
      </w:r>
      <w:r w:rsidR="004269B0" w:rsidRPr="00782E98">
        <w:rPr>
          <w:rFonts w:ascii="Arial" w:hAnsi="Arial" w:cs="Arial"/>
          <w:b w:val="0"/>
          <w:color w:val="auto"/>
          <w:szCs w:val="24"/>
        </w:rPr>
        <w:t xml:space="preserve">ou aumento de despesa </w:t>
      </w:r>
      <w:r w:rsidR="00436F08" w:rsidRPr="00782E98">
        <w:rPr>
          <w:rFonts w:ascii="Arial" w:hAnsi="Arial" w:cs="Arial"/>
          <w:b w:val="0"/>
          <w:color w:val="auto"/>
          <w:szCs w:val="24"/>
        </w:rPr>
        <w:t xml:space="preserve">decorrente </w:t>
      </w:r>
      <w:r w:rsidRPr="00782E98">
        <w:rPr>
          <w:rFonts w:ascii="Arial" w:hAnsi="Arial" w:cs="Arial"/>
          <w:b w:val="0"/>
          <w:color w:val="auto"/>
          <w:szCs w:val="24"/>
        </w:rPr>
        <w:t xml:space="preserve">da </w:t>
      </w:r>
      <w:r w:rsidR="00436F08" w:rsidRPr="00782E98">
        <w:rPr>
          <w:rFonts w:ascii="Arial" w:hAnsi="Arial" w:cs="Arial"/>
          <w:b w:val="0"/>
          <w:color w:val="auto"/>
          <w:szCs w:val="24"/>
        </w:rPr>
        <w:t>MPV</w:t>
      </w:r>
      <w:r w:rsidR="00367B0C">
        <w:rPr>
          <w:rFonts w:ascii="Arial" w:hAnsi="Arial" w:cs="Arial"/>
          <w:b w:val="0"/>
          <w:color w:val="auto"/>
          <w:szCs w:val="24"/>
        </w:rPr>
        <w:t xml:space="preserve"> que impactem no equilíbrio orçamentário e financeiro da União</w:t>
      </w:r>
      <w:r w:rsidRPr="00782E98">
        <w:rPr>
          <w:rFonts w:ascii="Arial" w:hAnsi="Arial" w:cs="Arial"/>
          <w:b w:val="0"/>
          <w:color w:val="auto"/>
          <w:szCs w:val="24"/>
        </w:rPr>
        <w:t xml:space="preserve">, </w:t>
      </w:r>
      <w:r w:rsidR="00B74C75" w:rsidRPr="00782E98">
        <w:rPr>
          <w:rFonts w:ascii="Arial" w:hAnsi="Arial" w:cs="Arial"/>
          <w:b w:val="0"/>
          <w:color w:val="auto"/>
          <w:szCs w:val="24"/>
        </w:rPr>
        <w:t>pode-se concluir que estão</w:t>
      </w:r>
      <w:r w:rsidRPr="00782E98">
        <w:rPr>
          <w:rFonts w:ascii="Arial" w:hAnsi="Arial" w:cs="Arial"/>
          <w:b w:val="0"/>
          <w:color w:val="auto"/>
          <w:szCs w:val="24"/>
        </w:rPr>
        <w:t xml:space="preserve"> cumpridos os requisitos normativos citados nos parágrafos anteriores</w:t>
      </w:r>
      <w:r w:rsidR="00436F08" w:rsidRPr="00782E98">
        <w:rPr>
          <w:rFonts w:ascii="Arial" w:hAnsi="Arial" w:cs="Arial"/>
          <w:b w:val="0"/>
          <w:color w:val="auto"/>
          <w:szCs w:val="24"/>
        </w:rPr>
        <w:t xml:space="preserve">. </w:t>
      </w:r>
    </w:p>
    <w:p w:rsidR="00385957" w:rsidRPr="00B74C75" w:rsidRDefault="00385957" w:rsidP="00385957">
      <w:pPr>
        <w:rPr>
          <w:rFonts w:cs="Arial"/>
        </w:rPr>
      </w:pPr>
    </w:p>
    <w:p w:rsidR="00A9108A" w:rsidRPr="00782E98" w:rsidRDefault="00E047B5" w:rsidP="004B6D0E">
      <w:pPr>
        <w:pStyle w:val="Ttulo1"/>
        <w:spacing w:line="240" w:lineRule="auto"/>
        <w:rPr>
          <w:rFonts w:cs="Arial"/>
          <w:sz w:val="24"/>
          <w:szCs w:val="24"/>
        </w:rPr>
      </w:pPr>
      <w:r w:rsidRPr="00782E98">
        <w:rPr>
          <w:rFonts w:cs="Arial"/>
          <w:sz w:val="24"/>
          <w:szCs w:val="24"/>
        </w:rPr>
        <w:t>Conclusão</w:t>
      </w:r>
    </w:p>
    <w:p w:rsidR="00782E98" w:rsidRDefault="00782E98" w:rsidP="00782E98">
      <w:pPr>
        <w:pStyle w:val="Recuodecorpodetexto2"/>
        <w:rPr>
          <w:rFonts w:ascii="Arial" w:hAnsi="Arial" w:cs="Arial"/>
          <w:b w:val="0"/>
          <w:color w:val="auto"/>
          <w:szCs w:val="24"/>
        </w:rPr>
      </w:pPr>
    </w:p>
    <w:p w:rsidR="00385957" w:rsidRPr="00782E98" w:rsidRDefault="00B74C75" w:rsidP="00782E98">
      <w:pPr>
        <w:pStyle w:val="Recuodecorpodetexto2"/>
        <w:rPr>
          <w:rFonts w:ascii="Arial" w:hAnsi="Arial" w:cs="Arial"/>
          <w:b w:val="0"/>
          <w:color w:val="auto"/>
          <w:szCs w:val="24"/>
        </w:rPr>
      </w:pPr>
      <w:r w:rsidRPr="00782E98">
        <w:rPr>
          <w:rFonts w:ascii="Arial" w:hAnsi="Arial" w:cs="Arial"/>
          <w:b w:val="0"/>
          <w:color w:val="auto"/>
          <w:szCs w:val="24"/>
        </w:rPr>
        <w:t>Pelo exposto</w:t>
      </w:r>
      <w:r w:rsidR="00385957" w:rsidRPr="00782E98">
        <w:rPr>
          <w:rFonts w:ascii="Arial" w:hAnsi="Arial" w:cs="Arial"/>
          <w:b w:val="0"/>
          <w:color w:val="auto"/>
          <w:szCs w:val="24"/>
        </w:rPr>
        <w:t xml:space="preserve">, por </w:t>
      </w:r>
      <w:r w:rsidR="0046070B" w:rsidRPr="00782E98">
        <w:rPr>
          <w:rFonts w:ascii="Arial" w:hAnsi="Arial" w:cs="Arial"/>
          <w:b w:val="0"/>
          <w:color w:val="auto"/>
          <w:szCs w:val="24"/>
        </w:rPr>
        <w:t xml:space="preserve">não </w:t>
      </w:r>
      <w:r w:rsidR="00385957" w:rsidRPr="00782E98">
        <w:rPr>
          <w:rFonts w:ascii="Arial" w:hAnsi="Arial" w:cs="Arial"/>
          <w:b w:val="0"/>
          <w:color w:val="auto"/>
          <w:szCs w:val="24"/>
        </w:rPr>
        <w:t xml:space="preserve">proporcionar expectativa de </w:t>
      </w:r>
      <w:r w:rsidR="0046070B" w:rsidRPr="00782E98">
        <w:rPr>
          <w:rFonts w:ascii="Arial" w:hAnsi="Arial" w:cs="Arial"/>
          <w:b w:val="0"/>
          <w:color w:val="auto"/>
          <w:szCs w:val="24"/>
        </w:rPr>
        <w:t xml:space="preserve">redução </w:t>
      </w:r>
      <w:r w:rsidR="00385957" w:rsidRPr="00782E98">
        <w:rPr>
          <w:rFonts w:ascii="Arial" w:hAnsi="Arial" w:cs="Arial"/>
          <w:b w:val="0"/>
          <w:color w:val="auto"/>
          <w:szCs w:val="24"/>
        </w:rPr>
        <w:t>de receita</w:t>
      </w:r>
      <w:r w:rsidR="0046070B" w:rsidRPr="00782E98">
        <w:rPr>
          <w:rFonts w:ascii="Arial" w:hAnsi="Arial" w:cs="Arial"/>
          <w:b w:val="0"/>
          <w:color w:val="auto"/>
          <w:szCs w:val="24"/>
        </w:rPr>
        <w:t xml:space="preserve"> ou aumento de despesa</w:t>
      </w:r>
      <w:r w:rsidR="00385957" w:rsidRPr="00782E98">
        <w:rPr>
          <w:rFonts w:ascii="Arial" w:hAnsi="Arial" w:cs="Arial"/>
          <w:b w:val="0"/>
          <w:color w:val="auto"/>
          <w:szCs w:val="24"/>
        </w:rPr>
        <w:t>, o impacto orçamentário e financeiro da referida Medida Provisória não afetará negativamente a execução orçamentária do presente exercício e dos seguintes, nem a meta de resulta</w:t>
      </w:r>
      <w:r w:rsidR="002B28FA" w:rsidRPr="00782E98">
        <w:rPr>
          <w:rFonts w:ascii="Arial" w:hAnsi="Arial" w:cs="Arial"/>
          <w:b w:val="0"/>
          <w:color w:val="auto"/>
          <w:szCs w:val="24"/>
        </w:rPr>
        <w:t xml:space="preserve">do primário estabelecida na LDO </w:t>
      </w:r>
      <w:r w:rsidR="007420F2" w:rsidRPr="00782E98">
        <w:rPr>
          <w:rFonts w:ascii="Arial" w:hAnsi="Arial" w:cs="Arial"/>
          <w:b w:val="0"/>
          <w:color w:val="auto"/>
          <w:szCs w:val="24"/>
        </w:rPr>
        <w:t>2016</w:t>
      </w:r>
      <w:r w:rsidR="00385957" w:rsidRPr="00782E98">
        <w:rPr>
          <w:rFonts w:ascii="Arial" w:hAnsi="Arial" w:cs="Arial"/>
          <w:b w:val="0"/>
          <w:color w:val="auto"/>
          <w:szCs w:val="24"/>
        </w:rPr>
        <w:t xml:space="preserve">. </w:t>
      </w:r>
    </w:p>
    <w:p w:rsidR="00385957" w:rsidRPr="00782E98" w:rsidRDefault="00385957" w:rsidP="00782E98">
      <w:pPr>
        <w:pStyle w:val="Recuodecorpodetexto2"/>
        <w:rPr>
          <w:rFonts w:ascii="Arial" w:hAnsi="Arial" w:cs="Arial"/>
          <w:b w:val="0"/>
          <w:color w:val="auto"/>
          <w:szCs w:val="24"/>
        </w:rPr>
      </w:pPr>
      <w:r w:rsidRPr="00782E98">
        <w:rPr>
          <w:rFonts w:ascii="Arial" w:hAnsi="Arial" w:cs="Arial"/>
          <w:b w:val="0"/>
          <w:color w:val="auto"/>
          <w:szCs w:val="24"/>
        </w:rPr>
        <w:t xml:space="preserve">São esses os subsídios que consideramos mais relevantes para a apreciação da Medida Provisória nº </w:t>
      </w:r>
      <w:r w:rsidR="00B83949">
        <w:rPr>
          <w:rFonts w:ascii="Arial" w:hAnsi="Arial" w:cs="Arial"/>
          <w:b w:val="0"/>
          <w:color w:val="auto"/>
          <w:szCs w:val="24"/>
        </w:rPr>
        <w:t>708</w:t>
      </w:r>
      <w:r w:rsidRPr="00782E98">
        <w:rPr>
          <w:rFonts w:ascii="Arial" w:hAnsi="Arial" w:cs="Arial"/>
          <w:b w:val="0"/>
          <w:color w:val="auto"/>
          <w:szCs w:val="24"/>
        </w:rPr>
        <w:t xml:space="preserve">, de </w:t>
      </w:r>
      <w:r w:rsidR="007420F2" w:rsidRPr="00782E98">
        <w:rPr>
          <w:rFonts w:ascii="Arial" w:hAnsi="Arial" w:cs="Arial"/>
          <w:b w:val="0"/>
          <w:color w:val="auto"/>
          <w:szCs w:val="24"/>
        </w:rPr>
        <w:t xml:space="preserve">30 </w:t>
      </w:r>
      <w:r w:rsidRPr="00782E98">
        <w:rPr>
          <w:rFonts w:ascii="Arial" w:hAnsi="Arial" w:cs="Arial"/>
          <w:b w:val="0"/>
          <w:color w:val="auto"/>
          <w:szCs w:val="24"/>
        </w:rPr>
        <w:t xml:space="preserve">de </w:t>
      </w:r>
      <w:r w:rsidR="007420F2" w:rsidRPr="00782E98">
        <w:rPr>
          <w:rFonts w:ascii="Arial" w:hAnsi="Arial" w:cs="Arial"/>
          <w:b w:val="0"/>
          <w:color w:val="auto"/>
          <w:szCs w:val="24"/>
        </w:rPr>
        <w:t xml:space="preserve">dezembro </w:t>
      </w:r>
      <w:r w:rsidRPr="00782E98">
        <w:rPr>
          <w:rFonts w:ascii="Arial" w:hAnsi="Arial" w:cs="Arial"/>
          <w:b w:val="0"/>
          <w:color w:val="auto"/>
          <w:szCs w:val="24"/>
        </w:rPr>
        <w:t>de 2015, quanto à adequação orçamentária e financeira.</w:t>
      </w:r>
    </w:p>
    <w:p w:rsidR="0005777F" w:rsidRPr="00782E98" w:rsidRDefault="0005777F" w:rsidP="004B6D0E">
      <w:pPr>
        <w:spacing w:before="120" w:line="240" w:lineRule="auto"/>
        <w:rPr>
          <w:rFonts w:cs="Arial"/>
          <w:iCs/>
          <w:szCs w:val="24"/>
        </w:rPr>
      </w:pPr>
    </w:p>
    <w:p w:rsidR="0005777F" w:rsidRPr="00782E98" w:rsidRDefault="0005777F" w:rsidP="004B6D0E">
      <w:pPr>
        <w:spacing w:before="120" w:line="240" w:lineRule="auto"/>
        <w:rPr>
          <w:rFonts w:cs="Arial"/>
          <w:iCs/>
          <w:szCs w:val="24"/>
        </w:rPr>
      </w:pPr>
    </w:p>
    <w:p w:rsidR="0005777F" w:rsidRPr="00782E98" w:rsidRDefault="00B74C75" w:rsidP="001A5752">
      <w:pPr>
        <w:spacing w:after="0" w:line="240" w:lineRule="auto"/>
        <w:ind w:firstLine="0"/>
        <w:jc w:val="center"/>
        <w:rPr>
          <w:rFonts w:cs="Arial"/>
          <w:b/>
          <w:szCs w:val="24"/>
        </w:rPr>
      </w:pPr>
      <w:r w:rsidRPr="00782E98">
        <w:rPr>
          <w:rFonts w:cs="Arial"/>
          <w:b/>
          <w:szCs w:val="24"/>
        </w:rPr>
        <w:t>João Barbosa Júnior</w:t>
      </w:r>
    </w:p>
    <w:p w:rsidR="0005777F" w:rsidRPr="00782E98" w:rsidRDefault="0005777F" w:rsidP="001A5752">
      <w:pPr>
        <w:spacing w:after="0" w:line="240" w:lineRule="auto"/>
        <w:ind w:firstLine="0"/>
        <w:jc w:val="center"/>
        <w:rPr>
          <w:rFonts w:cs="Arial"/>
          <w:szCs w:val="24"/>
        </w:rPr>
      </w:pPr>
      <w:r w:rsidRPr="00782E98">
        <w:rPr>
          <w:rFonts w:cs="Arial"/>
          <w:szCs w:val="24"/>
        </w:rPr>
        <w:t xml:space="preserve">Consultor </w:t>
      </w:r>
      <w:r w:rsidR="00BE0F57">
        <w:rPr>
          <w:rFonts w:cs="Arial"/>
          <w:szCs w:val="24"/>
        </w:rPr>
        <w:t>Legislativo – Assessoramento em</w:t>
      </w:r>
      <w:r w:rsidRPr="00782E98">
        <w:rPr>
          <w:rFonts w:cs="Arial"/>
          <w:szCs w:val="24"/>
        </w:rPr>
        <w:t xml:space="preserve"> Orçamentos</w:t>
      </w:r>
    </w:p>
    <w:sectPr w:rsidR="0005777F" w:rsidRPr="00782E98" w:rsidSect="001A5752">
      <w:headerReference w:type="default" r:id="rId8"/>
      <w:footerReference w:type="even" r:id="rId9"/>
      <w:footerReference w:type="default" r:id="rId10"/>
      <w:pgSz w:w="11906" w:h="16838" w:code="9"/>
      <w:pgMar w:top="2662" w:right="1134" w:bottom="1560" w:left="170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71" w:rsidRDefault="00772A71">
      <w:r>
        <w:separator/>
      </w:r>
    </w:p>
  </w:endnote>
  <w:endnote w:type="continuationSeparator" w:id="0">
    <w:p w:rsidR="00772A71" w:rsidRDefault="0077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4C" w:rsidRDefault="000B4F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23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234C" w:rsidRDefault="00F7234C">
    <w:pPr>
      <w:pStyle w:val="Rodap"/>
      <w:ind w:right="360"/>
    </w:pPr>
  </w:p>
  <w:p w:rsidR="007E2772" w:rsidRDefault="007E2772"/>
  <w:p w:rsidR="007E2772" w:rsidRDefault="007E27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DD8" w:rsidRDefault="003A5DD8" w:rsidP="003A5DD8">
    <w:pPr>
      <w:pStyle w:val="Rodap"/>
      <w:ind w:right="360"/>
      <w:rPr>
        <w:rFonts w:ascii="ITC Stone Sans Std Medium" w:hAnsi="ITC Stone Sans Std Medium"/>
        <w:sz w:val="14"/>
        <w:szCs w:val="14"/>
      </w:rPr>
    </w:pPr>
  </w:p>
  <w:p w:rsidR="003A5DD8" w:rsidRDefault="00385957" w:rsidP="003A5DD8">
    <w:pPr>
      <w:pStyle w:val="Rodap"/>
      <w:jc w:val="center"/>
      <w:rPr>
        <w:rFonts w:ascii="ITC Stone Sans Std Medium" w:hAnsi="ITC Stone Sans Std Medium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19685</wp:posOffset>
          </wp:positionV>
          <wp:extent cx="7675245" cy="18161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81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5DD8" w:rsidRPr="00196BF2" w:rsidRDefault="003A5DD8" w:rsidP="007028A4">
    <w:pPr>
      <w:pStyle w:val="Rodap"/>
      <w:spacing w:after="0" w:line="240" w:lineRule="auto"/>
      <w:ind w:firstLine="0"/>
      <w:jc w:val="center"/>
      <w:rPr>
        <w:sz w:val="14"/>
        <w:szCs w:val="14"/>
      </w:rPr>
    </w:pPr>
  </w:p>
  <w:p w:rsidR="003A5DD8" w:rsidRDefault="003A5DD8" w:rsidP="007028A4">
    <w:pPr>
      <w:pStyle w:val="Rodap"/>
      <w:spacing w:after="0" w:line="240" w:lineRule="auto"/>
      <w:ind w:firstLine="0"/>
      <w:jc w:val="center"/>
      <w:rPr>
        <w:sz w:val="16"/>
        <w:szCs w:val="16"/>
      </w:rPr>
    </w:pPr>
    <w:r w:rsidRPr="00A80C4B">
      <w:rPr>
        <w:sz w:val="16"/>
        <w:szCs w:val="16"/>
      </w:rPr>
      <w:t xml:space="preserve">Senado Federal </w:t>
    </w:r>
    <w:r>
      <w:rPr>
        <w:sz w:val="16"/>
        <w:szCs w:val="16"/>
      </w:rPr>
      <w:t>–</w:t>
    </w:r>
    <w:r w:rsidRPr="00A80C4B">
      <w:rPr>
        <w:sz w:val="16"/>
        <w:szCs w:val="16"/>
      </w:rPr>
      <w:t xml:space="preserve"> Praça dos Três Poderes </w:t>
    </w:r>
    <w:r>
      <w:rPr>
        <w:sz w:val="16"/>
        <w:szCs w:val="16"/>
      </w:rPr>
      <w:t xml:space="preserve">– </w:t>
    </w:r>
    <w:r w:rsidRPr="00A80C4B">
      <w:rPr>
        <w:sz w:val="16"/>
        <w:szCs w:val="16"/>
      </w:rPr>
      <w:t xml:space="preserve">CEP 70165-900 </w:t>
    </w:r>
    <w:r>
      <w:rPr>
        <w:sz w:val="16"/>
        <w:szCs w:val="16"/>
      </w:rPr>
      <w:t>–</w:t>
    </w:r>
    <w:r w:rsidRPr="00A80C4B">
      <w:rPr>
        <w:sz w:val="16"/>
        <w:szCs w:val="16"/>
      </w:rPr>
      <w:t xml:space="preserve"> Brasília DF </w:t>
    </w:r>
  </w:p>
  <w:p w:rsidR="003A5DD8" w:rsidRDefault="003A5DD8" w:rsidP="007028A4">
    <w:pPr>
      <w:pStyle w:val="Rodap"/>
      <w:spacing w:after="0" w:line="240" w:lineRule="auto"/>
      <w:ind w:firstLine="0"/>
      <w:jc w:val="center"/>
      <w:rPr>
        <w:sz w:val="16"/>
        <w:szCs w:val="16"/>
      </w:rPr>
    </w:pPr>
    <w:r>
      <w:rPr>
        <w:sz w:val="16"/>
        <w:szCs w:val="16"/>
      </w:rPr>
      <w:t xml:space="preserve">Telefone: +55 </w:t>
    </w:r>
    <w:r w:rsidRPr="00A80C4B">
      <w:rPr>
        <w:sz w:val="16"/>
        <w:szCs w:val="16"/>
      </w:rPr>
      <w:t>(61)</w:t>
    </w:r>
    <w:r>
      <w:rPr>
        <w:sz w:val="16"/>
        <w:szCs w:val="16"/>
      </w:rPr>
      <w:t xml:space="preserve"> 3303-3318 – conorf@senado.gov.br</w:t>
    </w:r>
  </w:p>
  <w:p w:rsidR="00F7234C" w:rsidRPr="003A5DD8" w:rsidRDefault="000B4F82" w:rsidP="004B6D0E">
    <w:pPr>
      <w:pStyle w:val="Rodap"/>
      <w:spacing w:after="0" w:line="240" w:lineRule="auto"/>
      <w:ind w:left="8222" w:firstLine="425"/>
    </w:pPr>
    <w:r w:rsidRPr="00D60AD0">
      <w:rPr>
        <w:sz w:val="16"/>
        <w:szCs w:val="16"/>
      </w:rPr>
      <w:fldChar w:fldCharType="begin"/>
    </w:r>
    <w:r w:rsidR="003A5DD8" w:rsidRPr="00D60AD0">
      <w:rPr>
        <w:sz w:val="16"/>
        <w:szCs w:val="16"/>
      </w:rPr>
      <w:instrText xml:space="preserve"> PAGE </w:instrText>
    </w:r>
    <w:r w:rsidRPr="00D60AD0">
      <w:rPr>
        <w:sz w:val="16"/>
        <w:szCs w:val="16"/>
      </w:rPr>
      <w:fldChar w:fldCharType="separate"/>
    </w:r>
    <w:r w:rsidR="00063D23">
      <w:rPr>
        <w:noProof/>
        <w:sz w:val="16"/>
        <w:szCs w:val="16"/>
      </w:rPr>
      <w:t>1</w:t>
    </w:r>
    <w:r w:rsidRPr="00D60AD0">
      <w:rPr>
        <w:sz w:val="16"/>
        <w:szCs w:val="16"/>
      </w:rPr>
      <w:fldChar w:fldCharType="end"/>
    </w:r>
    <w:r w:rsidR="003A5DD8" w:rsidRPr="00D60AD0">
      <w:rPr>
        <w:sz w:val="16"/>
        <w:szCs w:val="16"/>
      </w:rPr>
      <w:t xml:space="preserve"> de </w:t>
    </w:r>
    <w:r w:rsidRPr="00D60AD0">
      <w:rPr>
        <w:sz w:val="16"/>
        <w:szCs w:val="16"/>
      </w:rPr>
      <w:fldChar w:fldCharType="begin"/>
    </w:r>
    <w:r w:rsidR="003A5DD8" w:rsidRPr="00D60AD0">
      <w:rPr>
        <w:sz w:val="16"/>
        <w:szCs w:val="16"/>
      </w:rPr>
      <w:instrText xml:space="preserve"> NUMPAGES </w:instrText>
    </w:r>
    <w:r w:rsidRPr="00D60AD0">
      <w:rPr>
        <w:sz w:val="16"/>
        <w:szCs w:val="16"/>
      </w:rPr>
      <w:fldChar w:fldCharType="separate"/>
    </w:r>
    <w:r w:rsidR="00063D23">
      <w:rPr>
        <w:noProof/>
        <w:sz w:val="16"/>
        <w:szCs w:val="16"/>
      </w:rPr>
      <w:t>1</w:t>
    </w:r>
    <w:r w:rsidRPr="00D60AD0">
      <w:rPr>
        <w:sz w:val="16"/>
        <w:szCs w:val="16"/>
      </w:rPr>
      <w:fldChar w:fldCharType="end"/>
    </w:r>
  </w:p>
  <w:p w:rsidR="007E2772" w:rsidRDefault="007E2772"/>
  <w:p w:rsidR="007E2772" w:rsidRDefault="007E27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71" w:rsidRDefault="00772A71">
      <w:r>
        <w:separator/>
      </w:r>
    </w:p>
  </w:footnote>
  <w:footnote w:type="continuationSeparator" w:id="0">
    <w:p w:rsidR="00772A71" w:rsidRDefault="0077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4C" w:rsidRDefault="004A1683" w:rsidP="001A5752">
    <w:pPr>
      <w:pStyle w:val="Cabealho"/>
      <w:spacing w:after="0" w:line="240" w:lineRule="auto"/>
      <w:ind w:firstLine="0"/>
      <w:jc w:val="center"/>
    </w:pPr>
    <w:r>
      <w:t>‘</w:t>
    </w:r>
    <w:r w:rsidR="00385957">
      <w:rPr>
        <w:noProof/>
      </w:rPr>
      <w:drawing>
        <wp:inline distT="0" distB="0" distL="0" distR="0">
          <wp:extent cx="1219200" cy="923925"/>
          <wp:effectExtent l="19050" t="0" r="0" b="0"/>
          <wp:docPr id="1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234C" w:rsidRPr="001A5752" w:rsidRDefault="00F7234C" w:rsidP="001A5752">
    <w:pPr>
      <w:pStyle w:val="Cabealho"/>
      <w:spacing w:before="120" w:after="0" w:line="240" w:lineRule="auto"/>
      <w:ind w:firstLine="0"/>
      <w:jc w:val="center"/>
      <w:rPr>
        <w:b/>
      </w:rPr>
    </w:pPr>
    <w:r w:rsidRPr="001A5752">
      <w:rPr>
        <w:rFonts w:ascii="Times New Roman" w:hAnsi="Times New Roman"/>
        <w:b/>
      </w:rPr>
      <w:t>Consultoria de Orçamentos, Fiscalização e Controle</w:t>
    </w:r>
  </w:p>
  <w:p w:rsidR="007E2772" w:rsidRDefault="0045230A" w:rsidP="0045230A">
    <w:pPr>
      <w:tabs>
        <w:tab w:val="left" w:pos="292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E2B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F27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4A9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521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4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A7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E04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6C9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640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60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10B2"/>
    <w:multiLevelType w:val="hybridMultilevel"/>
    <w:tmpl w:val="616C08A6"/>
    <w:lvl w:ilvl="0" w:tplc="DB04DD72">
      <w:start w:val="1"/>
      <w:numFmt w:val="bullet"/>
      <w:lvlText w:val=""/>
      <w:lvlJc w:val="left"/>
      <w:pPr>
        <w:tabs>
          <w:tab w:val="num" w:pos="935"/>
        </w:tabs>
        <w:ind w:left="878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9C501A8"/>
    <w:multiLevelType w:val="hybridMultilevel"/>
    <w:tmpl w:val="DB12BBD6"/>
    <w:lvl w:ilvl="0" w:tplc="7EE4636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C52E74"/>
    <w:multiLevelType w:val="hybridMultilevel"/>
    <w:tmpl w:val="904C18E2"/>
    <w:lvl w:ilvl="0" w:tplc="DB04DD72">
      <w:start w:val="1"/>
      <w:numFmt w:val="bullet"/>
      <w:lvlText w:val=""/>
      <w:lvlJc w:val="left"/>
      <w:pPr>
        <w:tabs>
          <w:tab w:val="num" w:pos="935"/>
        </w:tabs>
        <w:ind w:left="878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B2179"/>
    <w:multiLevelType w:val="hybridMultilevel"/>
    <w:tmpl w:val="D450A5F8"/>
    <w:lvl w:ilvl="0" w:tplc="676E5BC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44C6"/>
    <w:multiLevelType w:val="hybridMultilevel"/>
    <w:tmpl w:val="623C195C"/>
    <w:lvl w:ilvl="0" w:tplc="7EE4636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71E09"/>
    <w:multiLevelType w:val="multilevel"/>
    <w:tmpl w:val="A6A47C0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B53EA3"/>
    <w:multiLevelType w:val="hybridMultilevel"/>
    <w:tmpl w:val="8CF4D97A"/>
    <w:lvl w:ilvl="0" w:tplc="4DECD4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pt-BR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72"/>
    <w:rsid w:val="00000221"/>
    <w:rsid w:val="00007F98"/>
    <w:rsid w:val="00020284"/>
    <w:rsid w:val="00026F4A"/>
    <w:rsid w:val="0003521B"/>
    <w:rsid w:val="00040766"/>
    <w:rsid w:val="000457E0"/>
    <w:rsid w:val="000504D7"/>
    <w:rsid w:val="00051A21"/>
    <w:rsid w:val="00053D6F"/>
    <w:rsid w:val="0005777F"/>
    <w:rsid w:val="00062733"/>
    <w:rsid w:val="00063D23"/>
    <w:rsid w:val="00064253"/>
    <w:rsid w:val="00065E9D"/>
    <w:rsid w:val="00067C5A"/>
    <w:rsid w:val="0007217D"/>
    <w:rsid w:val="000749B5"/>
    <w:rsid w:val="00077B5F"/>
    <w:rsid w:val="00077B80"/>
    <w:rsid w:val="00083B87"/>
    <w:rsid w:val="00086665"/>
    <w:rsid w:val="0009054F"/>
    <w:rsid w:val="0009572D"/>
    <w:rsid w:val="00096762"/>
    <w:rsid w:val="000A45BE"/>
    <w:rsid w:val="000A703A"/>
    <w:rsid w:val="000B4F82"/>
    <w:rsid w:val="000C4FE9"/>
    <w:rsid w:val="000C52EF"/>
    <w:rsid w:val="000C5440"/>
    <w:rsid w:val="000C6760"/>
    <w:rsid w:val="000C6F8F"/>
    <w:rsid w:val="000D1BEA"/>
    <w:rsid w:val="000D438A"/>
    <w:rsid w:val="000D51D6"/>
    <w:rsid w:val="000D6702"/>
    <w:rsid w:val="000F27CE"/>
    <w:rsid w:val="000F3B4D"/>
    <w:rsid w:val="000F7696"/>
    <w:rsid w:val="00102D7F"/>
    <w:rsid w:val="00107CE5"/>
    <w:rsid w:val="00137AC1"/>
    <w:rsid w:val="00145EB1"/>
    <w:rsid w:val="00150C76"/>
    <w:rsid w:val="001801A9"/>
    <w:rsid w:val="001840B2"/>
    <w:rsid w:val="00184162"/>
    <w:rsid w:val="00194A2F"/>
    <w:rsid w:val="001A5752"/>
    <w:rsid w:val="001B22AB"/>
    <w:rsid w:val="001C45B6"/>
    <w:rsid w:val="001E0E33"/>
    <w:rsid w:val="001F2B5A"/>
    <w:rsid w:val="00204B38"/>
    <w:rsid w:val="00211B35"/>
    <w:rsid w:val="00216CDD"/>
    <w:rsid w:val="002200B8"/>
    <w:rsid w:val="0022317E"/>
    <w:rsid w:val="002240B3"/>
    <w:rsid w:val="00227107"/>
    <w:rsid w:val="0023629D"/>
    <w:rsid w:val="00250D15"/>
    <w:rsid w:val="00251295"/>
    <w:rsid w:val="00260B19"/>
    <w:rsid w:val="00273661"/>
    <w:rsid w:val="00280A35"/>
    <w:rsid w:val="00291D12"/>
    <w:rsid w:val="002B0916"/>
    <w:rsid w:val="002B28FA"/>
    <w:rsid w:val="002D17CF"/>
    <w:rsid w:val="002D60E8"/>
    <w:rsid w:val="002E005A"/>
    <w:rsid w:val="002E361D"/>
    <w:rsid w:val="002E38B2"/>
    <w:rsid w:val="002E50C5"/>
    <w:rsid w:val="002F0BF0"/>
    <w:rsid w:val="00300972"/>
    <w:rsid w:val="00307B11"/>
    <w:rsid w:val="00312719"/>
    <w:rsid w:val="0032451B"/>
    <w:rsid w:val="003257A0"/>
    <w:rsid w:val="003346AD"/>
    <w:rsid w:val="00343013"/>
    <w:rsid w:val="00344C49"/>
    <w:rsid w:val="003469D6"/>
    <w:rsid w:val="00350AB0"/>
    <w:rsid w:val="00355910"/>
    <w:rsid w:val="00367B0C"/>
    <w:rsid w:val="003706E7"/>
    <w:rsid w:val="00370B5A"/>
    <w:rsid w:val="00371B73"/>
    <w:rsid w:val="003770AF"/>
    <w:rsid w:val="00385957"/>
    <w:rsid w:val="003939B2"/>
    <w:rsid w:val="003A30ED"/>
    <w:rsid w:val="003A3574"/>
    <w:rsid w:val="003A5DD8"/>
    <w:rsid w:val="003B622A"/>
    <w:rsid w:val="003B71D9"/>
    <w:rsid w:val="003B7ED8"/>
    <w:rsid w:val="003C1BE5"/>
    <w:rsid w:val="003C7636"/>
    <w:rsid w:val="003D5DA6"/>
    <w:rsid w:val="003E0246"/>
    <w:rsid w:val="003E2E9A"/>
    <w:rsid w:val="003E4D2F"/>
    <w:rsid w:val="003F3B04"/>
    <w:rsid w:val="003F4A06"/>
    <w:rsid w:val="003F704A"/>
    <w:rsid w:val="00400D3C"/>
    <w:rsid w:val="00405FE6"/>
    <w:rsid w:val="00406C36"/>
    <w:rsid w:val="00417BC6"/>
    <w:rsid w:val="004205E0"/>
    <w:rsid w:val="0042532E"/>
    <w:rsid w:val="004269B0"/>
    <w:rsid w:val="00432A43"/>
    <w:rsid w:val="00436F08"/>
    <w:rsid w:val="00441676"/>
    <w:rsid w:val="0045227F"/>
    <w:rsid w:val="0045230A"/>
    <w:rsid w:val="00452DD9"/>
    <w:rsid w:val="004538D9"/>
    <w:rsid w:val="00455893"/>
    <w:rsid w:val="0046070B"/>
    <w:rsid w:val="00465857"/>
    <w:rsid w:val="00466E65"/>
    <w:rsid w:val="0047013E"/>
    <w:rsid w:val="004856E9"/>
    <w:rsid w:val="00492B6E"/>
    <w:rsid w:val="00492C58"/>
    <w:rsid w:val="004A1683"/>
    <w:rsid w:val="004A7989"/>
    <w:rsid w:val="004B63E7"/>
    <w:rsid w:val="004B6D0E"/>
    <w:rsid w:val="004C099D"/>
    <w:rsid w:val="004C1A53"/>
    <w:rsid w:val="004C2FDF"/>
    <w:rsid w:val="004C644E"/>
    <w:rsid w:val="004D1441"/>
    <w:rsid w:val="004E1DEE"/>
    <w:rsid w:val="004E29E0"/>
    <w:rsid w:val="004F3221"/>
    <w:rsid w:val="00504B91"/>
    <w:rsid w:val="00517ACD"/>
    <w:rsid w:val="00526C02"/>
    <w:rsid w:val="00527C39"/>
    <w:rsid w:val="00537FF5"/>
    <w:rsid w:val="00546C01"/>
    <w:rsid w:val="00550F0E"/>
    <w:rsid w:val="00553BDC"/>
    <w:rsid w:val="00557CB0"/>
    <w:rsid w:val="00563D7B"/>
    <w:rsid w:val="005707E8"/>
    <w:rsid w:val="0057391F"/>
    <w:rsid w:val="0058462C"/>
    <w:rsid w:val="005867B5"/>
    <w:rsid w:val="00587A61"/>
    <w:rsid w:val="0059713E"/>
    <w:rsid w:val="005A2905"/>
    <w:rsid w:val="005B1C14"/>
    <w:rsid w:val="005B5DEB"/>
    <w:rsid w:val="005C25B4"/>
    <w:rsid w:val="005D63E5"/>
    <w:rsid w:val="005F321B"/>
    <w:rsid w:val="006006B1"/>
    <w:rsid w:val="0060288B"/>
    <w:rsid w:val="00603C7E"/>
    <w:rsid w:val="006070F3"/>
    <w:rsid w:val="0062254B"/>
    <w:rsid w:val="00624FF0"/>
    <w:rsid w:val="00634CF9"/>
    <w:rsid w:val="00637DA9"/>
    <w:rsid w:val="006451D7"/>
    <w:rsid w:val="00655D12"/>
    <w:rsid w:val="0066623B"/>
    <w:rsid w:val="00674F12"/>
    <w:rsid w:val="00682D81"/>
    <w:rsid w:val="00685312"/>
    <w:rsid w:val="00690CA9"/>
    <w:rsid w:val="00692C84"/>
    <w:rsid w:val="006939AD"/>
    <w:rsid w:val="00694CEA"/>
    <w:rsid w:val="006B2D63"/>
    <w:rsid w:val="006B3302"/>
    <w:rsid w:val="006B37CF"/>
    <w:rsid w:val="006B49D0"/>
    <w:rsid w:val="006B5498"/>
    <w:rsid w:val="006C7807"/>
    <w:rsid w:val="006E16A0"/>
    <w:rsid w:val="006E2C18"/>
    <w:rsid w:val="006E3D5F"/>
    <w:rsid w:val="006E44D3"/>
    <w:rsid w:val="006E54BA"/>
    <w:rsid w:val="007028A4"/>
    <w:rsid w:val="00702BE2"/>
    <w:rsid w:val="00702E25"/>
    <w:rsid w:val="0070379E"/>
    <w:rsid w:val="0070672A"/>
    <w:rsid w:val="00711657"/>
    <w:rsid w:val="00712171"/>
    <w:rsid w:val="007223A9"/>
    <w:rsid w:val="00727E73"/>
    <w:rsid w:val="007420F2"/>
    <w:rsid w:val="00745F75"/>
    <w:rsid w:val="007464D1"/>
    <w:rsid w:val="0074697F"/>
    <w:rsid w:val="00746C6B"/>
    <w:rsid w:val="00753A61"/>
    <w:rsid w:val="00771291"/>
    <w:rsid w:val="00772A71"/>
    <w:rsid w:val="00781028"/>
    <w:rsid w:val="00782E5C"/>
    <w:rsid w:val="00782E98"/>
    <w:rsid w:val="00785CC4"/>
    <w:rsid w:val="007A3083"/>
    <w:rsid w:val="007C0B1A"/>
    <w:rsid w:val="007C35D4"/>
    <w:rsid w:val="007C5192"/>
    <w:rsid w:val="007C6333"/>
    <w:rsid w:val="007E2772"/>
    <w:rsid w:val="007F2BE6"/>
    <w:rsid w:val="00804032"/>
    <w:rsid w:val="008051F9"/>
    <w:rsid w:val="008224A9"/>
    <w:rsid w:val="00833D27"/>
    <w:rsid w:val="0083585E"/>
    <w:rsid w:val="008701AA"/>
    <w:rsid w:val="0087035F"/>
    <w:rsid w:val="00877C55"/>
    <w:rsid w:val="00882AB7"/>
    <w:rsid w:val="00894F62"/>
    <w:rsid w:val="00896875"/>
    <w:rsid w:val="008A6918"/>
    <w:rsid w:val="008C38C3"/>
    <w:rsid w:val="008C64D2"/>
    <w:rsid w:val="008C72F0"/>
    <w:rsid w:val="008C7A43"/>
    <w:rsid w:val="008D07CC"/>
    <w:rsid w:val="008D35AA"/>
    <w:rsid w:val="008D4DBE"/>
    <w:rsid w:val="008E3B78"/>
    <w:rsid w:val="008E5F33"/>
    <w:rsid w:val="009127DC"/>
    <w:rsid w:val="009133DE"/>
    <w:rsid w:val="00920077"/>
    <w:rsid w:val="0092062F"/>
    <w:rsid w:val="009215C3"/>
    <w:rsid w:val="009238AA"/>
    <w:rsid w:val="009254FC"/>
    <w:rsid w:val="00930EE6"/>
    <w:rsid w:val="009313DF"/>
    <w:rsid w:val="00933A92"/>
    <w:rsid w:val="009359D8"/>
    <w:rsid w:val="009367E0"/>
    <w:rsid w:val="00942D9A"/>
    <w:rsid w:val="00943B16"/>
    <w:rsid w:val="00943CCB"/>
    <w:rsid w:val="00952C11"/>
    <w:rsid w:val="00961544"/>
    <w:rsid w:val="0097284D"/>
    <w:rsid w:val="0097307F"/>
    <w:rsid w:val="00983157"/>
    <w:rsid w:val="009837A4"/>
    <w:rsid w:val="00990C13"/>
    <w:rsid w:val="009A058D"/>
    <w:rsid w:val="009A18AB"/>
    <w:rsid w:val="009A1FF2"/>
    <w:rsid w:val="009B0B6C"/>
    <w:rsid w:val="009B0B98"/>
    <w:rsid w:val="009C1781"/>
    <w:rsid w:val="009C4E2B"/>
    <w:rsid w:val="009C5872"/>
    <w:rsid w:val="009D09BC"/>
    <w:rsid w:val="009F3B9E"/>
    <w:rsid w:val="00A0521E"/>
    <w:rsid w:val="00A067AA"/>
    <w:rsid w:val="00A12E36"/>
    <w:rsid w:val="00A163A2"/>
    <w:rsid w:val="00A36EC3"/>
    <w:rsid w:val="00A438A0"/>
    <w:rsid w:val="00A441AE"/>
    <w:rsid w:val="00A469EC"/>
    <w:rsid w:val="00A513B5"/>
    <w:rsid w:val="00A53EBB"/>
    <w:rsid w:val="00A65B1F"/>
    <w:rsid w:val="00A701AF"/>
    <w:rsid w:val="00A8511D"/>
    <w:rsid w:val="00A8667A"/>
    <w:rsid w:val="00A9108A"/>
    <w:rsid w:val="00A9383F"/>
    <w:rsid w:val="00A962CD"/>
    <w:rsid w:val="00A96F75"/>
    <w:rsid w:val="00AA07E1"/>
    <w:rsid w:val="00AA189A"/>
    <w:rsid w:val="00AB16C1"/>
    <w:rsid w:val="00AB3DCD"/>
    <w:rsid w:val="00AC66B2"/>
    <w:rsid w:val="00AD41BE"/>
    <w:rsid w:val="00AE1940"/>
    <w:rsid w:val="00AE1FC4"/>
    <w:rsid w:val="00B01440"/>
    <w:rsid w:val="00B035E0"/>
    <w:rsid w:val="00B046A7"/>
    <w:rsid w:val="00B11211"/>
    <w:rsid w:val="00B131B1"/>
    <w:rsid w:val="00B134D7"/>
    <w:rsid w:val="00B25838"/>
    <w:rsid w:val="00B536FF"/>
    <w:rsid w:val="00B56EE1"/>
    <w:rsid w:val="00B615FB"/>
    <w:rsid w:val="00B62010"/>
    <w:rsid w:val="00B62474"/>
    <w:rsid w:val="00B63280"/>
    <w:rsid w:val="00B6652D"/>
    <w:rsid w:val="00B6712D"/>
    <w:rsid w:val="00B67CF9"/>
    <w:rsid w:val="00B74C75"/>
    <w:rsid w:val="00B75E4F"/>
    <w:rsid w:val="00B83949"/>
    <w:rsid w:val="00B86041"/>
    <w:rsid w:val="00B869A1"/>
    <w:rsid w:val="00BA390B"/>
    <w:rsid w:val="00BB33B8"/>
    <w:rsid w:val="00BB5073"/>
    <w:rsid w:val="00BB6677"/>
    <w:rsid w:val="00BB7219"/>
    <w:rsid w:val="00BD2730"/>
    <w:rsid w:val="00BD6417"/>
    <w:rsid w:val="00BE0443"/>
    <w:rsid w:val="00BE0F57"/>
    <w:rsid w:val="00BE6F46"/>
    <w:rsid w:val="00BF7CFC"/>
    <w:rsid w:val="00C03ED4"/>
    <w:rsid w:val="00C067CF"/>
    <w:rsid w:val="00C17498"/>
    <w:rsid w:val="00C20854"/>
    <w:rsid w:val="00C2387B"/>
    <w:rsid w:val="00C23BAE"/>
    <w:rsid w:val="00C278E8"/>
    <w:rsid w:val="00C3514E"/>
    <w:rsid w:val="00C46C96"/>
    <w:rsid w:val="00C53A25"/>
    <w:rsid w:val="00C5497D"/>
    <w:rsid w:val="00C56E19"/>
    <w:rsid w:val="00C60AAC"/>
    <w:rsid w:val="00C64676"/>
    <w:rsid w:val="00C800E2"/>
    <w:rsid w:val="00C80600"/>
    <w:rsid w:val="00C84B23"/>
    <w:rsid w:val="00C86BE3"/>
    <w:rsid w:val="00C87004"/>
    <w:rsid w:val="00C951DD"/>
    <w:rsid w:val="00C96D21"/>
    <w:rsid w:val="00CA22F4"/>
    <w:rsid w:val="00CA4215"/>
    <w:rsid w:val="00CA7DAD"/>
    <w:rsid w:val="00CB6744"/>
    <w:rsid w:val="00CC07CA"/>
    <w:rsid w:val="00CC16F5"/>
    <w:rsid w:val="00CD42CB"/>
    <w:rsid w:val="00CE06A5"/>
    <w:rsid w:val="00CE1917"/>
    <w:rsid w:val="00CF05A8"/>
    <w:rsid w:val="00D0362B"/>
    <w:rsid w:val="00D04239"/>
    <w:rsid w:val="00D062B9"/>
    <w:rsid w:val="00D12E9C"/>
    <w:rsid w:val="00D1575B"/>
    <w:rsid w:val="00D2318C"/>
    <w:rsid w:val="00D256CD"/>
    <w:rsid w:val="00D272A0"/>
    <w:rsid w:val="00D45AAD"/>
    <w:rsid w:val="00D54624"/>
    <w:rsid w:val="00D564AF"/>
    <w:rsid w:val="00D5727C"/>
    <w:rsid w:val="00D611A6"/>
    <w:rsid w:val="00D6388B"/>
    <w:rsid w:val="00D7206D"/>
    <w:rsid w:val="00D75131"/>
    <w:rsid w:val="00D80FDA"/>
    <w:rsid w:val="00D8237F"/>
    <w:rsid w:val="00D84B08"/>
    <w:rsid w:val="00D9011B"/>
    <w:rsid w:val="00DA4598"/>
    <w:rsid w:val="00DD41AD"/>
    <w:rsid w:val="00DD54E3"/>
    <w:rsid w:val="00DE3D5D"/>
    <w:rsid w:val="00DE7F58"/>
    <w:rsid w:val="00DF2D55"/>
    <w:rsid w:val="00DF6131"/>
    <w:rsid w:val="00E01469"/>
    <w:rsid w:val="00E03E50"/>
    <w:rsid w:val="00E047B5"/>
    <w:rsid w:val="00E04A2C"/>
    <w:rsid w:val="00E10D7B"/>
    <w:rsid w:val="00E113AC"/>
    <w:rsid w:val="00E1223E"/>
    <w:rsid w:val="00E2011E"/>
    <w:rsid w:val="00E21AEF"/>
    <w:rsid w:val="00E25D2D"/>
    <w:rsid w:val="00E26EEA"/>
    <w:rsid w:val="00E332A9"/>
    <w:rsid w:val="00E33F0C"/>
    <w:rsid w:val="00E36C94"/>
    <w:rsid w:val="00E3730B"/>
    <w:rsid w:val="00E40F63"/>
    <w:rsid w:val="00E45BB6"/>
    <w:rsid w:val="00E50B41"/>
    <w:rsid w:val="00E5126E"/>
    <w:rsid w:val="00E82617"/>
    <w:rsid w:val="00EA7585"/>
    <w:rsid w:val="00EB71ED"/>
    <w:rsid w:val="00EC4347"/>
    <w:rsid w:val="00ED21C8"/>
    <w:rsid w:val="00ED5D58"/>
    <w:rsid w:val="00EE493C"/>
    <w:rsid w:val="00EE5927"/>
    <w:rsid w:val="00EE6C8B"/>
    <w:rsid w:val="00EE7512"/>
    <w:rsid w:val="00EE75D6"/>
    <w:rsid w:val="00EF2243"/>
    <w:rsid w:val="00EF3E5F"/>
    <w:rsid w:val="00EF7D8A"/>
    <w:rsid w:val="00F03F46"/>
    <w:rsid w:val="00F1119C"/>
    <w:rsid w:val="00F31EE4"/>
    <w:rsid w:val="00F36C37"/>
    <w:rsid w:val="00F564FA"/>
    <w:rsid w:val="00F63DCD"/>
    <w:rsid w:val="00F7234C"/>
    <w:rsid w:val="00F77CDD"/>
    <w:rsid w:val="00F8095F"/>
    <w:rsid w:val="00F91690"/>
    <w:rsid w:val="00FA5128"/>
    <w:rsid w:val="00FA75F9"/>
    <w:rsid w:val="00FB1B13"/>
    <w:rsid w:val="00FB1F3B"/>
    <w:rsid w:val="00FB3F2F"/>
    <w:rsid w:val="00FB428C"/>
    <w:rsid w:val="00FC3CC4"/>
    <w:rsid w:val="00FC570D"/>
    <w:rsid w:val="00FD0DB0"/>
    <w:rsid w:val="00FE2F67"/>
    <w:rsid w:val="00FF1815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A9741BD2-6146-4634-8512-6AC2CE73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CD"/>
    <w:pPr>
      <w:spacing w:after="120" w:line="360" w:lineRule="auto"/>
      <w:ind w:firstLine="709"/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4F3221"/>
    <w:pPr>
      <w:keepNext/>
      <w:numPr>
        <w:numId w:val="16"/>
      </w:numPr>
      <w:spacing w:before="120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F3221"/>
    <w:pPr>
      <w:keepNext/>
      <w:numPr>
        <w:ilvl w:val="1"/>
        <w:numId w:val="16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108A"/>
    <w:pPr>
      <w:keepNext/>
      <w:keepLines/>
      <w:numPr>
        <w:ilvl w:val="2"/>
        <w:numId w:val="16"/>
      </w:numPr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3221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3221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3221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3221"/>
    <w:pPr>
      <w:numPr>
        <w:ilvl w:val="6"/>
        <w:numId w:val="16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3221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3221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3221"/>
    <w:rPr>
      <w:rFonts w:ascii="Arial" w:eastAsia="Times New Roman" w:hAnsi="Arial"/>
      <w:b/>
      <w:bCs/>
      <w:kern w:val="32"/>
      <w:sz w:val="28"/>
      <w:szCs w:val="32"/>
    </w:rPr>
  </w:style>
  <w:style w:type="paragraph" w:styleId="Cabealho">
    <w:name w:val="header"/>
    <w:basedOn w:val="Normal"/>
    <w:link w:val="CabealhoChar"/>
    <w:rsid w:val="00300972"/>
    <w:pPr>
      <w:tabs>
        <w:tab w:val="center" w:pos="4252"/>
        <w:tab w:val="right" w:pos="8504"/>
      </w:tabs>
    </w:pPr>
    <w:rPr>
      <w:rFonts w:ascii="Calibri" w:eastAsia="Calibri" w:hAnsi="Calibri"/>
      <w:sz w:val="20"/>
    </w:rPr>
  </w:style>
  <w:style w:type="character" w:customStyle="1" w:styleId="CabealhoChar">
    <w:name w:val="Cabeçalho Char"/>
    <w:link w:val="Cabealho"/>
    <w:rsid w:val="0030097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300972"/>
    <w:pPr>
      <w:tabs>
        <w:tab w:val="center" w:pos="4252"/>
        <w:tab w:val="right" w:pos="8504"/>
      </w:tabs>
    </w:pPr>
    <w:rPr>
      <w:rFonts w:ascii="Calibri" w:eastAsia="Calibri" w:hAnsi="Calibri"/>
      <w:sz w:val="20"/>
    </w:rPr>
  </w:style>
  <w:style w:type="character" w:customStyle="1" w:styleId="RodapChar">
    <w:name w:val="Rodapé Char"/>
    <w:link w:val="Rodap"/>
    <w:rsid w:val="00300972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300972"/>
    <w:pPr>
      <w:ind w:firstLine="851"/>
    </w:pPr>
    <w:rPr>
      <w:rFonts w:ascii="Times New Roman" w:hAnsi="Times New Roman"/>
      <w:b/>
      <w:color w:val="000080"/>
    </w:rPr>
  </w:style>
  <w:style w:type="character" w:customStyle="1" w:styleId="Recuodecorpodetexto2Char">
    <w:name w:val="Recuo de corpo de texto 2 Char"/>
    <w:link w:val="Recuodecorpodetexto2"/>
    <w:rsid w:val="00300972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00972"/>
    <w:rPr>
      <w:rFonts w:eastAsia="Calibri"/>
    </w:rPr>
  </w:style>
  <w:style w:type="character" w:customStyle="1" w:styleId="TextosemFormataoChar">
    <w:name w:val="Texto sem Formatação Char"/>
    <w:link w:val="TextosemFormatao"/>
    <w:uiPriority w:val="99"/>
    <w:rsid w:val="00300972"/>
    <w:rPr>
      <w:rFonts w:ascii="Arial" w:eastAsia="Calibri" w:hAnsi="Arial" w:cs="Courier New"/>
      <w:sz w:val="24"/>
      <w:szCs w:val="20"/>
      <w:lang w:eastAsia="pt-BR"/>
    </w:rPr>
  </w:style>
  <w:style w:type="character" w:styleId="Nmerodepgina">
    <w:name w:val="page number"/>
    <w:rsid w:val="00300972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1FF2"/>
    <w:rPr>
      <w:rFonts w:ascii="Times New Roman" w:hAnsi="Times New Roman"/>
      <w:sz w:val="20"/>
    </w:rPr>
  </w:style>
  <w:style w:type="character" w:customStyle="1" w:styleId="CorpodetextoChar">
    <w:name w:val="Corpo de texto Char"/>
    <w:link w:val="Corpodetexto"/>
    <w:uiPriority w:val="99"/>
    <w:semiHidden/>
    <w:rsid w:val="009A1FF2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30EE6"/>
    <w:pPr>
      <w:ind w:left="283"/>
    </w:pPr>
    <w:rPr>
      <w:rFonts w:ascii="Times New Roman" w:hAnsi="Times New Roman"/>
      <w:sz w:val="20"/>
    </w:rPr>
  </w:style>
  <w:style w:type="character" w:customStyle="1" w:styleId="RecuodecorpodetextoChar">
    <w:name w:val="Recuo de corpo de texto Char"/>
    <w:link w:val="Recuodecorpodetexto"/>
    <w:uiPriority w:val="99"/>
    <w:rsid w:val="00930EE6"/>
    <w:rPr>
      <w:rFonts w:ascii="Times New Roman" w:eastAsia="Times New Roman" w:hAnsi="Times New Roman"/>
    </w:rPr>
  </w:style>
  <w:style w:type="paragraph" w:customStyle="1" w:styleId="Tabela">
    <w:name w:val="Tabela"/>
    <w:rsid w:val="00C46C96"/>
    <w:rPr>
      <w:rFonts w:ascii="Arial" w:eastAsia="Times New Roman" w:hAnsi="Arial"/>
      <w:color w:val="000000"/>
      <w:sz w:val="24"/>
    </w:rPr>
  </w:style>
  <w:style w:type="paragraph" w:customStyle="1" w:styleId="Blockquote">
    <w:name w:val="Blockquote"/>
    <w:basedOn w:val="Normal"/>
    <w:rsid w:val="00C46C96"/>
    <w:pPr>
      <w:spacing w:before="100" w:after="100"/>
      <w:ind w:left="360" w:right="360"/>
    </w:pPr>
    <w:rPr>
      <w:snapToGrid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08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108A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A9108A"/>
    <w:rPr>
      <w:rFonts w:ascii="Cambria" w:eastAsia="Times New Roman" w:hAnsi="Cambria"/>
      <w:b/>
      <w:bCs/>
      <w:color w:val="4F81BD"/>
      <w:sz w:val="28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1A5752"/>
    <w:pPr>
      <w:spacing w:line="240" w:lineRule="auto"/>
      <w:ind w:right="113" w:firstLine="0"/>
      <w:jc w:val="left"/>
    </w:pPr>
    <w:rPr>
      <w:rFonts w:ascii="Palatino Linotype" w:hAnsi="Palatino Linotype"/>
      <w:sz w:val="20"/>
    </w:rPr>
  </w:style>
  <w:style w:type="character" w:customStyle="1" w:styleId="TextodenotaderodapChar">
    <w:name w:val="Texto de nota de rodapé Char"/>
    <w:link w:val="Textodenotaderodap"/>
    <w:uiPriority w:val="99"/>
    <w:rsid w:val="001A5752"/>
    <w:rPr>
      <w:rFonts w:ascii="Palatino Linotype" w:eastAsia="Times New Roman" w:hAnsi="Palatino Linotype"/>
    </w:rPr>
  </w:style>
  <w:style w:type="character" w:styleId="Refdenotaderodap">
    <w:name w:val="footnote reference"/>
    <w:uiPriority w:val="99"/>
    <w:unhideWhenUsed/>
    <w:rsid w:val="00137AC1"/>
    <w:rPr>
      <w:rFonts w:ascii="Arial" w:hAnsi="Arial"/>
      <w:sz w:val="24"/>
      <w:vertAlign w:val="superscript"/>
    </w:rPr>
  </w:style>
  <w:style w:type="paragraph" w:styleId="PargrafodaLista">
    <w:name w:val="List Paragraph"/>
    <w:basedOn w:val="Normal"/>
    <w:uiPriority w:val="34"/>
    <w:qFormat/>
    <w:rsid w:val="00A12E36"/>
    <w:pPr>
      <w:ind w:left="720"/>
      <w:contextualSpacing/>
    </w:pPr>
  </w:style>
  <w:style w:type="table" w:styleId="Tabelacomgrade">
    <w:name w:val="Table Grid"/>
    <w:basedOn w:val="Tabelanormal"/>
    <w:uiPriority w:val="59"/>
    <w:rsid w:val="0054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131B1"/>
  </w:style>
  <w:style w:type="character" w:styleId="Refdecomentrio">
    <w:name w:val="annotation reference"/>
    <w:uiPriority w:val="99"/>
    <w:semiHidden/>
    <w:unhideWhenUsed/>
    <w:rsid w:val="009254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54FC"/>
    <w:rPr>
      <w:rFonts w:ascii="Times New Roman" w:hAnsi="Times New Roman"/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254F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4F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254FC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7284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72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6F46"/>
    <w:rPr>
      <w:color w:val="0000FF"/>
      <w:u w:val="single"/>
    </w:rPr>
  </w:style>
  <w:style w:type="paragraph" w:customStyle="1" w:styleId="Default">
    <w:name w:val="Default"/>
    <w:rsid w:val="00D062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4F3221"/>
    <w:pPr>
      <w:spacing w:line="240" w:lineRule="auto"/>
      <w:ind w:left="2268" w:right="567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4F3221"/>
    <w:rPr>
      <w:rFonts w:ascii="Arial" w:eastAsia="Times New Roman" w:hAnsi="Arial"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32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32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32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322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322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32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3221"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  <w:autoRedefine/>
    <w:uiPriority w:val="99"/>
    <w:unhideWhenUsed/>
    <w:rsid w:val="001A5752"/>
    <w:pPr>
      <w:spacing w:line="240" w:lineRule="auto"/>
      <w:ind w:right="-1" w:firstLine="0"/>
      <w:jc w:val="left"/>
    </w:pPr>
    <w:rPr>
      <w:rFonts w:ascii="Palatino Linotype" w:hAnsi="Palatino Linotype"/>
      <w:b/>
      <w:sz w:val="28"/>
      <w:szCs w:val="28"/>
    </w:rPr>
  </w:style>
  <w:style w:type="character" w:customStyle="1" w:styleId="TtulodanotaChar">
    <w:name w:val="Título da nota Char"/>
    <w:basedOn w:val="Fontepargpadro"/>
    <w:link w:val="Ttulodanota"/>
    <w:uiPriority w:val="99"/>
    <w:rsid w:val="001A5752"/>
    <w:rPr>
      <w:rFonts w:ascii="Palatino Linotype" w:eastAsia="Times New Roman" w:hAnsi="Palatino Linotype"/>
      <w:b/>
      <w:sz w:val="28"/>
      <w:szCs w:val="28"/>
    </w:rPr>
  </w:style>
  <w:style w:type="paragraph" w:customStyle="1" w:styleId="ementa">
    <w:name w:val="ementa"/>
    <w:basedOn w:val="Normal"/>
    <w:autoRedefine/>
    <w:qFormat/>
    <w:rsid w:val="004F3221"/>
    <w:pPr>
      <w:autoSpaceDE w:val="0"/>
      <w:autoSpaceDN w:val="0"/>
      <w:adjustRightInd w:val="0"/>
      <w:spacing w:line="240" w:lineRule="auto"/>
      <w:ind w:left="3402" w:firstLine="0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93CE-A90A-4308-8E1E-0DBA15E4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pederiva</dc:creator>
  <cp:lastModifiedBy>Clarissa Kiwa Scarton Hayashi</cp:lastModifiedBy>
  <cp:revision>2</cp:revision>
  <cp:lastPrinted>2016-02-02T11:44:00Z</cp:lastPrinted>
  <dcterms:created xsi:type="dcterms:W3CDTF">2016-02-15T11:23:00Z</dcterms:created>
  <dcterms:modified xsi:type="dcterms:W3CDTF">2016-02-15T11:23:00Z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