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72" w:rsidRDefault="002A5872" w:rsidP="002A5872">
      <w:pPr>
        <w:pStyle w:val="01-Minuta-CLG"/>
      </w:pPr>
      <w:r>
        <w:t>Minuta</w:t>
      </w:r>
    </w:p>
    <w:p w:rsidR="002A5872" w:rsidRDefault="00920096" w:rsidP="002A5872">
      <w:pPr>
        <w:pStyle w:val="02-TtuloPrincipal-CLG"/>
      </w:pPr>
      <w:bookmarkStart w:id="0" w:name="_GoBack"/>
      <w:bookmarkEnd w:id="0"/>
      <w:r>
        <w:t xml:space="preserve">PARECER </w:t>
      </w:r>
      <w:proofErr w:type="gramStart"/>
      <w:r>
        <w:t>Nº       ,</w:t>
      </w:r>
      <w:proofErr w:type="gramEnd"/>
      <w:r>
        <w:t xml:space="preserve"> DE 2015</w:t>
      </w:r>
      <w:r w:rsidR="00900752">
        <w:t xml:space="preserve"> </w:t>
      </w:r>
    </w:p>
    <w:p w:rsidR="002A5872" w:rsidRDefault="002A5872" w:rsidP="002A5872">
      <w:pPr>
        <w:pStyle w:val="03-Ementa-CLG"/>
      </w:pPr>
      <w:bookmarkStart w:id="1" w:name="sigla_comissao"/>
      <w:bookmarkStart w:id="2" w:name="nome_comissao"/>
      <w:r>
        <w:t>Da COMISSÃO MISTA,</w:t>
      </w:r>
      <w:bookmarkEnd w:id="1"/>
      <w:r>
        <w:t xml:space="preserve"> </w:t>
      </w:r>
      <w:bookmarkEnd w:id="2"/>
      <w:r w:rsidR="009F0125">
        <w:t>sobre a Medida Provisória</w:t>
      </w:r>
      <w:r w:rsidR="00920096">
        <w:t xml:space="preserve"> nº 688, de 18</w:t>
      </w:r>
      <w:r>
        <w:t xml:space="preserve"> de </w:t>
      </w:r>
      <w:r w:rsidR="00920096">
        <w:t>agosto de 2015</w:t>
      </w:r>
      <w:r>
        <w:t xml:space="preserve">, que </w:t>
      </w:r>
      <w:r w:rsidR="00B56CA0" w:rsidRPr="00B56CA0">
        <w:rPr>
          <w:i/>
        </w:rPr>
        <w:t xml:space="preserve">dispõe sobre a repactuação do risco hidrológico de geração de energia elétrica, institui a bonificação pela outorga e altera a Lei nº 10.848, de 15 de março de 2004, que dispõe sobre a comercialização de energia elétrica, a Lei nº 12.783, 11 de janeiro de 2013, que dispõe sobre as concessões de energia elétrica, e a Lei nº 9.478, de </w:t>
      </w:r>
      <w:proofErr w:type="gramStart"/>
      <w:r w:rsidR="00B56CA0" w:rsidRPr="00B56CA0">
        <w:rPr>
          <w:i/>
        </w:rPr>
        <w:t>6</w:t>
      </w:r>
      <w:proofErr w:type="gramEnd"/>
      <w:r w:rsidR="00B56CA0" w:rsidRPr="00B56CA0">
        <w:rPr>
          <w:i/>
        </w:rPr>
        <w:t xml:space="preserve"> de agosto de 1997, que institui o Conselho Nacional de Política Energética.</w:t>
      </w:r>
    </w:p>
    <w:p w:rsidR="002A5872" w:rsidRDefault="002A5872" w:rsidP="002A5872">
      <w:pPr>
        <w:pStyle w:val="04-Relatoria-CLG"/>
      </w:pPr>
      <w:r>
        <w:t xml:space="preserve">RELATOR: Senador </w:t>
      </w:r>
      <w:r w:rsidR="00B56CA0">
        <w:rPr>
          <w:b/>
          <w:caps/>
        </w:rPr>
        <w:t>EUNÍCIO OLIVEIRA</w:t>
      </w:r>
      <w:r>
        <w:t xml:space="preserve"> </w:t>
      </w:r>
    </w:p>
    <w:p w:rsidR="002A5872" w:rsidRDefault="002A5872" w:rsidP="002A5872">
      <w:pPr>
        <w:pStyle w:val="05-Subttulo-CLG"/>
      </w:pPr>
      <w:r>
        <w:t>I – RELATÓRIO</w:t>
      </w:r>
    </w:p>
    <w:p w:rsidR="00B56CA0" w:rsidRDefault="00B56CA0" w:rsidP="00081079">
      <w:pPr>
        <w:pStyle w:val="05-Pargrafodetexto-CLG"/>
      </w:pPr>
      <w:r>
        <w:t>Vem para a devida</w:t>
      </w:r>
      <w:r w:rsidR="00081079" w:rsidRPr="00C05F25">
        <w:t xml:space="preserve"> análise desta Comissão </w:t>
      </w:r>
      <w:r>
        <w:t>Mista a Medida Provisória</w:t>
      </w:r>
      <w:r w:rsidR="00F254A2">
        <w:t xml:space="preserve"> (MPV)</w:t>
      </w:r>
      <w:r>
        <w:t xml:space="preserve"> nº 688, de 18</w:t>
      </w:r>
      <w:r w:rsidR="00081079" w:rsidRPr="00C05F25">
        <w:t xml:space="preserve"> de </w:t>
      </w:r>
      <w:r>
        <w:t>agosto de 2015</w:t>
      </w:r>
      <w:r w:rsidR="00081079" w:rsidRPr="00C05F25">
        <w:t xml:space="preserve">, que </w:t>
      </w:r>
      <w:r>
        <w:t xml:space="preserve">faculta aos agentes de geração a repactuação do risco hidrológico de geração de energia elétrica e institui a bonificação pela outorga de concessões de usinas hidroelétricas, de ativos de transmissão e de distribuição alcançadas pelos </w:t>
      </w:r>
      <w:r w:rsidRPr="00C05F25">
        <w:rPr>
          <w:szCs w:val="24"/>
        </w:rPr>
        <w:t xml:space="preserve">artigos 19 e 22 e pelo § 5º do art. 17 da Lei nº 9.074, de </w:t>
      </w:r>
      <w:smartTag w:uri="urn:schemas-microsoft-com:office:smarttags" w:element="date">
        <w:smartTagPr>
          <w:attr w:name="Year" w:val="1995"/>
          <w:attr w:name="Day" w:val="7"/>
          <w:attr w:name="Month" w:val="7"/>
          <w:attr w:name="ls" w:val="trans"/>
        </w:smartTagPr>
        <w:r w:rsidRPr="00C05F25">
          <w:rPr>
            <w:szCs w:val="24"/>
          </w:rPr>
          <w:t>7 de julho de 1995</w:t>
        </w:r>
      </w:smartTag>
      <w:r w:rsidRPr="00C05F25">
        <w:rPr>
          <w:szCs w:val="24"/>
        </w:rPr>
        <w:t>.</w:t>
      </w:r>
    </w:p>
    <w:p w:rsidR="00081079" w:rsidRPr="00C05F25" w:rsidRDefault="00081079" w:rsidP="00081079">
      <w:pPr>
        <w:pStyle w:val="05-Pargrafodetexto-CLG"/>
      </w:pPr>
      <w:r w:rsidRPr="00C05F25">
        <w:t xml:space="preserve">Em consonância com o art. 62, § 9º, da Constituição Federal, cabe a </w:t>
      </w:r>
      <w:r w:rsidR="00E32F9B">
        <w:t>esta Comissão Mista examinar a M</w:t>
      </w:r>
      <w:r w:rsidRPr="00C05F25">
        <w:t>edida Provisória em referência e emitir parecer prévio à apreciação por cada uma das Casas Legislativas.</w:t>
      </w:r>
    </w:p>
    <w:p w:rsidR="00081079" w:rsidRPr="00C05F25" w:rsidRDefault="00787F40" w:rsidP="00081079">
      <w:pPr>
        <w:pStyle w:val="05-Pargrafodetexto-CLG"/>
      </w:pPr>
      <w:r>
        <w:t>A</w:t>
      </w:r>
      <w:r w:rsidR="00F254A2">
        <w:t xml:space="preserve"> </w:t>
      </w:r>
      <w:r>
        <w:t>MPV em análise</w:t>
      </w:r>
      <w:r w:rsidR="00081079" w:rsidRPr="00C05F25">
        <w:t xml:space="preserve"> é composta </w:t>
      </w:r>
      <w:r w:rsidR="004855DC">
        <w:t>por</w:t>
      </w:r>
      <w:r w:rsidR="00081079" w:rsidRPr="00C05F25">
        <w:t xml:space="preserve"> </w:t>
      </w:r>
      <w:r w:rsidR="00961623">
        <w:t>quatro</w:t>
      </w:r>
      <w:r w:rsidR="00081079" w:rsidRPr="00C05F25">
        <w:t xml:space="preserve"> artigos</w:t>
      </w:r>
      <w:r w:rsidR="00961623">
        <w:t xml:space="preserve"> mais cláusula de vigência</w:t>
      </w:r>
      <w:r w:rsidR="00081079" w:rsidRPr="00C05F25">
        <w:t xml:space="preserve">, distribuídos em </w:t>
      </w:r>
      <w:r w:rsidR="00961623">
        <w:t>dois</w:t>
      </w:r>
      <w:r w:rsidR="00786E55">
        <w:t xml:space="preserve"> capítulos.</w:t>
      </w:r>
    </w:p>
    <w:p w:rsidR="00786E55" w:rsidRDefault="00786E55" w:rsidP="00786E55">
      <w:pPr>
        <w:pStyle w:val="05-Subttulo-CLG"/>
        <w:ind w:firstLine="1418"/>
        <w:rPr>
          <w:b w:val="0"/>
        </w:rPr>
      </w:pPr>
      <w:r>
        <w:rPr>
          <w:b w:val="0"/>
        </w:rPr>
        <w:t>O Capítulo I é composto pelos</w:t>
      </w:r>
      <w:r w:rsidR="00081079" w:rsidRPr="00C05F25">
        <w:rPr>
          <w:b w:val="0"/>
        </w:rPr>
        <w:t xml:space="preserve"> art</w:t>
      </w:r>
      <w:r w:rsidR="00961623">
        <w:rPr>
          <w:b w:val="0"/>
        </w:rPr>
        <w:t>igos 1° e 2</w:t>
      </w:r>
      <w:r>
        <w:rPr>
          <w:b w:val="0"/>
        </w:rPr>
        <w:t>°. O art. 1º</w:t>
      </w:r>
      <w:r w:rsidR="00787F40">
        <w:rPr>
          <w:b w:val="0"/>
        </w:rPr>
        <w:t xml:space="preserve"> </w:t>
      </w:r>
      <w:r w:rsidR="00081079" w:rsidRPr="00C05F25">
        <w:rPr>
          <w:b w:val="0"/>
        </w:rPr>
        <w:t xml:space="preserve">estabelece as condições para a </w:t>
      </w:r>
      <w:r w:rsidR="00961623">
        <w:rPr>
          <w:b w:val="0"/>
        </w:rPr>
        <w:t>repactuação do risco hidrológico</w:t>
      </w:r>
      <w:r w:rsidR="00234922">
        <w:rPr>
          <w:b w:val="0"/>
        </w:rPr>
        <w:t xml:space="preserve"> associado a </w:t>
      </w:r>
      <w:r>
        <w:rPr>
          <w:b w:val="0"/>
        </w:rPr>
        <w:t xml:space="preserve">duas situações: </w:t>
      </w:r>
    </w:p>
    <w:p w:rsidR="00786E55" w:rsidRDefault="00786E55" w:rsidP="00F44405">
      <w:pPr>
        <w:pStyle w:val="05-Subttulo-CLG"/>
        <w:ind w:left="1701" w:hanging="283"/>
        <w:rPr>
          <w:b w:val="0"/>
        </w:rPr>
      </w:pPr>
      <w:r>
        <w:rPr>
          <w:b w:val="0"/>
        </w:rPr>
        <w:t xml:space="preserve">1) energia </w:t>
      </w:r>
      <w:r w:rsidR="004855DC">
        <w:rPr>
          <w:b w:val="0"/>
        </w:rPr>
        <w:t>vinculada</w:t>
      </w:r>
      <w:r>
        <w:rPr>
          <w:b w:val="0"/>
        </w:rPr>
        <w:t xml:space="preserve"> a </w:t>
      </w:r>
      <w:r w:rsidR="00234922">
        <w:rPr>
          <w:b w:val="0"/>
        </w:rPr>
        <w:t>contratos no Ambiente de Contr</w:t>
      </w:r>
      <w:r>
        <w:rPr>
          <w:b w:val="0"/>
        </w:rPr>
        <w:t xml:space="preserve">atação Regulada (ACR); e, </w:t>
      </w:r>
    </w:p>
    <w:p w:rsidR="00786E55" w:rsidRDefault="00786E55" w:rsidP="00F44405">
      <w:pPr>
        <w:pStyle w:val="05-Subttulo-CLG"/>
        <w:ind w:left="1701" w:hanging="283"/>
        <w:rPr>
          <w:b w:val="0"/>
        </w:rPr>
      </w:pPr>
      <w:r>
        <w:rPr>
          <w:b w:val="0"/>
        </w:rPr>
        <w:t>2) energia não vinculada a</w:t>
      </w:r>
      <w:r w:rsidR="004855DC">
        <w:rPr>
          <w:b w:val="0"/>
        </w:rPr>
        <w:t xml:space="preserve"> contratos n</w:t>
      </w:r>
      <w:r>
        <w:rPr>
          <w:b w:val="0"/>
        </w:rPr>
        <w:t xml:space="preserve">o ACR, </w:t>
      </w:r>
      <w:r w:rsidR="00234922">
        <w:rPr>
          <w:b w:val="0"/>
        </w:rPr>
        <w:t xml:space="preserve">vale dizer, </w:t>
      </w:r>
      <w:r>
        <w:rPr>
          <w:b w:val="0"/>
        </w:rPr>
        <w:t xml:space="preserve">energia associada a </w:t>
      </w:r>
      <w:r w:rsidR="00234922">
        <w:rPr>
          <w:b w:val="0"/>
        </w:rPr>
        <w:t>contratos bilaterais no Ambiente de Contratação Livre (ACL)</w:t>
      </w:r>
      <w:r>
        <w:rPr>
          <w:b w:val="0"/>
        </w:rPr>
        <w:t xml:space="preserve"> e a que atende consumo próprio de autoprodutores</w:t>
      </w:r>
      <w:r w:rsidR="00081079" w:rsidRPr="00C05F25">
        <w:rPr>
          <w:b w:val="0"/>
        </w:rPr>
        <w:t>.</w:t>
      </w:r>
    </w:p>
    <w:p w:rsidR="00023976" w:rsidRDefault="00023976" w:rsidP="00023976">
      <w:pPr>
        <w:pStyle w:val="05-Pargrafodetexto-CLG"/>
      </w:pPr>
      <w:r>
        <w:t xml:space="preserve">O risco hidrológico relativo ao ano de 2014 </w:t>
      </w:r>
      <w:r w:rsidR="00F254A2">
        <w:t>permanece</w:t>
      </w:r>
      <w:r>
        <w:t xml:space="preserve"> alocado aos agentes de geração hidrelétrica. A partir deste ano de 2015, o risco hidrológico das usinas hidrelétricas cujos agentes aderirem aos termos desta MPV será alocado aos consumidores.</w:t>
      </w:r>
    </w:p>
    <w:p w:rsidR="00786E55" w:rsidRDefault="00961623" w:rsidP="00786E55">
      <w:pPr>
        <w:pStyle w:val="05-Subttulo-CLG"/>
        <w:ind w:firstLine="1418"/>
        <w:rPr>
          <w:b w:val="0"/>
        </w:rPr>
      </w:pPr>
      <w:r>
        <w:rPr>
          <w:b w:val="0"/>
        </w:rPr>
        <w:t xml:space="preserve"> </w:t>
      </w:r>
      <w:r w:rsidRPr="00961623">
        <w:rPr>
          <w:b w:val="0"/>
        </w:rPr>
        <w:t>Os agentes que aderirem à repactuação do risco hidrológico</w:t>
      </w:r>
      <w:r w:rsidR="00234922">
        <w:rPr>
          <w:b w:val="0"/>
        </w:rPr>
        <w:t xml:space="preserve"> associado </w:t>
      </w:r>
      <w:r w:rsidR="00BD1575">
        <w:rPr>
          <w:b w:val="0"/>
        </w:rPr>
        <w:t>à energia contratada n</w:t>
      </w:r>
      <w:r w:rsidR="00234922">
        <w:rPr>
          <w:b w:val="0"/>
        </w:rPr>
        <w:t>o ACR</w:t>
      </w:r>
      <w:r w:rsidRPr="00961623">
        <w:rPr>
          <w:b w:val="0"/>
        </w:rPr>
        <w:t xml:space="preserve"> deverão</w:t>
      </w:r>
      <w:r w:rsidR="00F44405">
        <w:rPr>
          <w:b w:val="0"/>
        </w:rPr>
        <w:t xml:space="preserve"> pagar prêmio de risco e transferir </w:t>
      </w:r>
      <w:r w:rsidRPr="00961623">
        <w:rPr>
          <w:b w:val="0"/>
        </w:rPr>
        <w:t>os direitos e obrigações referentes à liquidação da energia secundária e ao deslocamento de geração hidrelétrica, decorrentes de ajustes no Mecanismo de Realocação de Energia (MRE).</w:t>
      </w:r>
      <w:r w:rsidR="00787F40">
        <w:rPr>
          <w:b w:val="0"/>
        </w:rPr>
        <w:t xml:space="preserve"> </w:t>
      </w:r>
      <w:r w:rsidR="00F44405">
        <w:rPr>
          <w:b w:val="0"/>
        </w:rPr>
        <w:t xml:space="preserve">O pagamento e a transferência terão como destino </w:t>
      </w:r>
      <w:r w:rsidR="00F44405" w:rsidRPr="00961623">
        <w:rPr>
          <w:b w:val="0"/>
        </w:rPr>
        <w:t>a Conta Centralizadora dos Recursos de Bandeiras Tarifárias</w:t>
      </w:r>
      <w:r w:rsidR="00F44405">
        <w:rPr>
          <w:b w:val="0"/>
        </w:rPr>
        <w:t>.</w:t>
      </w:r>
    </w:p>
    <w:p w:rsidR="00786E55" w:rsidRDefault="00234922" w:rsidP="00786E55">
      <w:pPr>
        <w:pStyle w:val="05-Subttulo-CLG"/>
        <w:ind w:firstLine="1418"/>
        <w:rPr>
          <w:b w:val="0"/>
        </w:rPr>
      </w:pPr>
      <w:r>
        <w:rPr>
          <w:b w:val="0"/>
        </w:rPr>
        <w:t>Os agentes</w:t>
      </w:r>
      <w:r w:rsidR="00786E55">
        <w:rPr>
          <w:b w:val="0"/>
        </w:rPr>
        <w:t xml:space="preserve"> com energia não vinculada ao ACR que aceitarem a repactuação deverão assumir direitos e obrigações vinculados à energia de reserva, mediante aporte de prêmio de risco à Conta de Energia de Reserva (CONER) ou contratação voluntária de reserva de capacidade de geração</w:t>
      </w:r>
      <w:r w:rsidR="00F44405">
        <w:rPr>
          <w:b w:val="0"/>
        </w:rPr>
        <w:t xml:space="preserve">. </w:t>
      </w:r>
    </w:p>
    <w:p w:rsidR="00F44405" w:rsidRDefault="00BD1575" w:rsidP="00786E55">
      <w:pPr>
        <w:pStyle w:val="05-Subttulo-CLG"/>
        <w:ind w:firstLine="1418"/>
        <w:rPr>
          <w:b w:val="0"/>
        </w:rPr>
      </w:pPr>
      <w:r>
        <w:rPr>
          <w:b w:val="0"/>
        </w:rPr>
        <w:t>Os agentes de geração também terão direito a ressarcimento pelo</w:t>
      </w:r>
      <w:r w:rsidR="00F44405">
        <w:rPr>
          <w:b w:val="0"/>
        </w:rPr>
        <w:t xml:space="preserve"> resultado do deslo</w:t>
      </w:r>
      <w:r>
        <w:rPr>
          <w:b w:val="0"/>
        </w:rPr>
        <w:t>camento de geração hidrelétrica</w:t>
      </w:r>
      <w:r w:rsidR="004855DC">
        <w:rPr>
          <w:b w:val="0"/>
        </w:rPr>
        <w:t xml:space="preserve"> </w:t>
      </w:r>
      <w:r w:rsidR="00F254A2">
        <w:rPr>
          <w:b w:val="0"/>
        </w:rPr>
        <w:t>no ano de</w:t>
      </w:r>
      <w:r w:rsidR="004855DC">
        <w:rPr>
          <w:b w:val="0"/>
        </w:rPr>
        <w:t xml:space="preserve"> 2015</w:t>
      </w:r>
      <w:r>
        <w:rPr>
          <w:b w:val="0"/>
        </w:rPr>
        <w:t>. Desse direito serão</w:t>
      </w:r>
      <w:r w:rsidR="00F44405">
        <w:rPr>
          <w:b w:val="0"/>
        </w:rPr>
        <w:t xml:space="preserve"> subtraído</w:t>
      </w:r>
      <w:r>
        <w:rPr>
          <w:b w:val="0"/>
        </w:rPr>
        <w:t>s a energia secundária e o prêmio de risco. O ressarcimento</w:t>
      </w:r>
      <w:r w:rsidR="00F44405">
        <w:rPr>
          <w:b w:val="0"/>
        </w:rPr>
        <w:t xml:space="preserve"> aos agentes d</w:t>
      </w:r>
      <w:r>
        <w:rPr>
          <w:b w:val="0"/>
        </w:rPr>
        <w:t>e geração ser dará</w:t>
      </w:r>
      <w:r w:rsidR="00F44405">
        <w:rPr>
          <w:b w:val="0"/>
        </w:rPr>
        <w:t xml:space="preserve"> mediante </w:t>
      </w:r>
      <w:r w:rsidR="004855DC">
        <w:rPr>
          <w:b w:val="0"/>
        </w:rPr>
        <w:t xml:space="preserve">um entre </w:t>
      </w:r>
      <w:r w:rsidR="00692457">
        <w:rPr>
          <w:b w:val="0"/>
        </w:rPr>
        <w:t>instrumentos</w:t>
      </w:r>
      <w:r>
        <w:rPr>
          <w:b w:val="0"/>
        </w:rPr>
        <w:t xml:space="preserve"> diversos, a depender da situação de cada agente: i) postergação do prêmio de risco com aplicação de taxa de desconto; ii) extensão do prazo das outorgas vigentes</w:t>
      </w:r>
      <w:r w:rsidR="00D67624">
        <w:rPr>
          <w:b w:val="0"/>
        </w:rPr>
        <w:t>, limitado a quinze anos; iii) celebração de contrato no ACR, limitado a quinze anos de prazo, com preços e condições estabelecidas pela Agência Nacional de Energia Elétrica (ANEEL).</w:t>
      </w:r>
      <w:r w:rsidR="00F44405">
        <w:rPr>
          <w:b w:val="0"/>
        </w:rPr>
        <w:t xml:space="preserve"> </w:t>
      </w:r>
    </w:p>
    <w:p w:rsidR="00D161C5" w:rsidRPr="00961623" w:rsidRDefault="004855DC" w:rsidP="00D161C5">
      <w:pPr>
        <w:pStyle w:val="05-Subttulo-CLG"/>
        <w:ind w:firstLine="1418"/>
        <w:rPr>
          <w:b w:val="0"/>
        </w:rPr>
      </w:pPr>
      <w:r>
        <w:rPr>
          <w:b w:val="0"/>
        </w:rPr>
        <w:t>O</w:t>
      </w:r>
      <w:r w:rsidR="00D161C5">
        <w:rPr>
          <w:b w:val="0"/>
        </w:rPr>
        <w:t xml:space="preserve"> art. 2º </w:t>
      </w:r>
      <w:r>
        <w:rPr>
          <w:b w:val="0"/>
        </w:rPr>
        <w:t xml:space="preserve">da Medida Provisória </w:t>
      </w:r>
      <w:r w:rsidR="00D161C5">
        <w:rPr>
          <w:b w:val="0"/>
        </w:rPr>
        <w:t xml:space="preserve">promove ajustes na Lei nº 10.848, de 2004, </w:t>
      </w:r>
      <w:r w:rsidR="00F254A2">
        <w:rPr>
          <w:b w:val="0"/>
        </w:rPr>
        <w:t xml:space="preserve">de forma a </w:t>
      </w:r>
      <w:r w:rsidR="00D161C5">
        <w:rPr>
          <w:b w:val="0"/>
        </w:rPr>
        <w:t>adequá-la aos termos da repactuação de que trata o art. 1º.</w:t>
      </w:r>
    </w:p>
    <w:p w:rsidR="00D67624" w:rsidRDefault="00D67624" w:rsidP="00D67624">
      <w:pPr>
        <w:pStyle w:val="05-Pargrafodetextosumrioexecutivo-CLG"/>
        <w:spacing w:line="240" w:lineRule="auto"/>
      </w:pPr>
      <w:r>
        <w:t>O MRE foi criado pelo Decreto nº 2.655, de 2 de julho de 1998, para que os riscos hidrológicos dos agentes hidrelétricos sejam compartilhados, uma vez que não podem decidir individualmente quando e quanto gerar (despacho), decisão que cabe a Operador Nacional do Sistema Elétrico (ONS). O despacho ótimo para uma usina pode não ser o despacho ótimo para o sistema elétrico nacional interligado. Por isso, o ONS centraliza a operação do sistema elétrico, buscando minimizar o custo global de geração para o consumidor, ainda que individualmente agentes de geração deixem de maximizar seus lucros com essa operação centralizada.</w:t>
      </w:r>
    </w:p>
    <w:p w:rsidR="00D67624" w:rsidRDefault="00D67624" w:rsidP="00D67624">
      <w:pPr>
        <w:pStyle w:val="05-Pargrafodetextosumrioexecutivo-CLG"/>
        <w:spacing w:line="240" w:lineRule="auto"/>
      </w:pPr>
      <w:r>
        <w:t>O MRE funciona como um compartilhamento de riscos hidrológicos entre seus integrantes. O Ministério de Minas e Energia</w:t>
      </w:r>
      <w:proofErr w:type="gramStart"/>
      <w:r>
        <w:t xml:space="preserve"> </w:t>
      </w:r>
      <w:r w:rsidR="00F254A2">
        <w:t xml:space="preserve"> </w:t>
      </w:r>
      <w:proofErr w:type="gramEnd"/>
      <w:r w:rsidR="00F254A2">
        <w:t xml:space="preserve">(MME) </w:t>
      </w:r>
      <w:r>
        <w:t xml:space="preserve">define, para cada usina, qual a sua capacidade de geração nas condições hidrológicas, historicamente, as mais adversas. É a chamada </w:t>
      </w:r>
      <w:r w:rsidRPr="002804D9">
        <w:rPr>
          <w:i/>
        </w:rPr>
        <w:t>garantia física</w:t>
      </w:r>
      <w:r>
        <w:t xml:space="preserve">. Cada gerador pode </w:t>
      </w:r>
      <w:r w:rsidR="004855DC">
        <w:t>firmar</w:t>
      </w:r>
      <w:r>
        <w:t xml:space="preserve"> contratos para vender energia até o limite de sua garantia física. Mas, há um risco de que, por conta de más condições climáticas, as usinas hidrelétricas sejam incapazes de gerar até mesmo a sua garantia física. Se isso ocorrer, a usina é obrigada a comprar energia </w:t>
      </w:r>
      <w:r w:rsidR="004855DC">
        <w:t xml:space="preserve">no mercado de curto prazo </w:t>
      </w:r>
      <w:r>
        <w:t xml:space="preserve">para atender os contratos de venda. Mas esse é um risco que pode ser mitigado, </w:t>
      </w:r>
      <w:r w:rsidR="00F254A2">
        <w:t>por meio</w:t>
      </w:r>
      <w:r>
        <w:t xml:space="preserve"> do MRE.</w:t>
      </w:r>
    </w:p>
    <w:p w:rsidR="00D67624" w:rsidRDefault="00D67624" w:rsidP="00D67624">
      <w:pPr>
        <w:pStyle w:val="05-Pargrafodetextosumrioexecutivo-CLG"/>
        <w:spacing w:line="240" w:lineRule="auto"/>
      </w:pPr>
      <w:r>
        <w:t xml:space="preserve">As usinas participantes do MRE somam as suas garantias físicas e fazem uma contabilização coletiva das vendas de energia e das respectivas receitas. Uma usina que esteja numa região que tenha chovido pouco pode ser socorrida por outra usina que esteja numa região com farto regime pluviométrico. Se a </w:t>
      </w:r>
      <w:r w:rsidR="004855DC">
        <w:t>soma da energia hidrelétrica gerada pelos participantes do MRE</w:t>
      </w:r>
      <w:r>
        <w:t xml:space="preserve"> for superior à soma das garantias físicas, haverá energia sobressalente – a chamada </w:t>
      </w:r>
      <w:r>
        <w:rPr>
          <w:i/>
        </w:rPr>
        <w:t>energia secundária</w:t>
      </w:r>
      <w:r>
        <w:t xml:space="preserve"> – cuja receita será rateada entre os participantes na proporção de suas garantias físicas. Por outro lado, se a geração do conjunto for inferior à soma das garantias físicas, a energia que faltou será rateada entre participantes na proporção de suas garantias físicas, e cada participante deverá </w:t>
      </w:r>
      <w:r w:rsidR="004855DC">
        <w:t>pagar pela energia faltante no mercado de curto p</w:t>
      </w:r>
      <w:r>
        <w:t xml:space="preserve">razo. </w:t>
      </w:r>
    </w:p>
    <w:p w:rsidR="00D67624" w:rsidRPr="00AC79BB" w:rsidRDefault="00D67624" w:rsidP="00D67624">
      <w:pPr>
        <w:pStyle w:val="05-Pargrafodetextosumrioexecutivo-CLG"/>
        <w:spacing w:line="240" w:lineRule="auto"/>
      </w:pPr>
      <w:r>
        <w:t xml:space="preserve">Nos dois últimos anos, o MRE não tem sido suficiente para mitigar o risco hidrológico, por várias razões. Uma delas é o </w:t>
      </w:r>
      <w:r w:rsidRPr="00AC79BB">
        <w:rPr>
          <w:i/>
        </w:rPr>
        <w:t>deslocamento de geração hidrelétrica</w:t>
      </w:r>
      <w:r>
        <w:t xml:space="preserve"> decorrente do despacho fora da ordem de mérito. Normalmente, para minimizar o custo de geração, o ONS despacha as usinas pela </w:t>
      </w:r>
      <w:r>
        <w:rPr>
          <w:i/>
        </w:rPr>
        <w:t>ordem de mérito</w:t>
      </w:r>
      <w:r>
        <w:t xml:space="preserve">, ou seja, da usina mais barata para as usinas mais caras. As usinas mais baratas são as hidrelétricas, e as mais caras, as termoelétricas, cujos custos de operação variam enormemente. Os agentes de geração hidrelétrica não têm controle sobre a quantidade de água que chega aos reservatórios, mas os de geração termoelétrica têm controle sobre a disponibilidade de combustíveis ao lado das suas usinas. Diante do risco hidrológico, </w:t>
      </w:r>
      <w:r w:rsidR="00F254A2">
        <w:t>mediante autorização do Comitê de Monitoramento do Setor Elétrico (CMSE</w:t>
      </w:r>
      <w:proofErr w:type="gramStart"/>
      <w:r w:rsidR="00F254A2">
        <w:t>) ,</w:t>
      </w:r>
      <w:proofErr w:type="gramEnd"/>
      <w:r w:rsidR="00F254A2">
        <w:t xml:space="preserve"> </w:t>
      </w:r>
      <w:r>
        <w:t xml:space="preserve">o ONS pode mudar a ordem de mérito para despachar as usinas termoelétricas, mais caras, e guardar a água das usinas hidrelétricas, mais baratas, para minimizar o risco futuro de racionamento. Essa é uma das causas para a perda de efetividade do MRE e tem provocado grandes perdas para os agentes de geração hidrelétrica. </w:t>
      </w:r>
    </w:p>
    <w:p w:rsidR="00D67624" w:rsidRDefault="00D67624" w:rsidP="00786E55">
      <w:pPr>
        <w:pStyle w:val="05-Subttulo-CLG"/>
        <w:ind w:firstLine="1418"/>
        <w:rPr>
          <w:b w:val="0"/>
        </w:rPr>
      </w:pPr>
      <w:r>
        <w:rPr>
          <w:b w:val="0"/>
        </w:rPr>
        <w:t>O caráter não gerenciável do deslocamento de geração hidrelétrica retira, na visão dos agentes, sua responsabilidade quanto ao risco hidrológico. O Poder Judiciário, em caráter liminar, tem dado razão aos agentes. Segundo a Exposição de Motivos que acompanha a Medida Provisória, 23% dos agentes já obtiveram as citadas liminares, o que pode ensejar consequências dano</w:t>
      </w:r>
      <w:r w:rsidR="00D161C5">
        <w:rPr>
          <w:b w:val="0"/>
        </w:rPr>
        <w:t>sas para o setor elétrico</w:t>
      </w:r>
      <w:r w:rsidR="00E4573B">
        <w:rPr>
          <w:b w:val="0"/>
        </w:rPr>
        <w:t>. I</w:t>
      </w:r>
      <w:r w:rsidR="00D161C5">
        <w:rPr>
          <w:b w:val="0"/>
        </w:rPr>
        <w:t>sso</w:t>
      </w:r>
      <w:r>
        <w:rPr>
          <w:b w:val="0"/>
        </w:rPr>
        <w:t xml:space="preserve"> justifica a urgência e relevância das medidas propostas. </w:t>
      </w:r>
    </w:p>
    <w:p w:rsidR="00D161C5" w:rsidRDefault="00D161C5" w:rsidP="00786E55">
      <w:pPr>
        <w:pStyle w:val="05-Subttulo-CLG"/>
        <w:ind w:firstLine="1418"/>
        <w:rPr>
          <w:b w:val="0"/>
        </w:rPr>
      </w:pPr>
      <w:r>
        <w:rPr>
          <w:b w:val="0"/>
        </w:rPr>
        <w:t>O Capítulo II da Medida Provisória é composto dos artigos</w:t>
      </w:r>
      <w:r w:rsidR="00961623">
        <w:rPr>
          <w:b w:val="0"/>
        </w:rPr>
        <w:t xml:space="preserve"> 3° e 4</w:t>
      </w:r>
      <w:r w:rsidR="00081079" w:rsidRPr="00787F40">
        <w:rPr>
          <w:b w:val="0"/>
        </w:rPr>
        <w:t>°:</w:t>
      </w:r>
      <w:r w:rsidR="00787F40" w:rsidRPr="00787F40">
        <w:rPr>
          <w:b w:val="0"/>
        </w:rPr>
        <w:t xml:space="preserve"> </w:t>
      </w:r>
      <w:r w:rsidR="00787F40">
        <w:rPr>
          <w:b w:val="0"/>
        </w:rPr>
        <w:t>o art. 3º da MPV</w:t>
      </w:r>
      <w:r>
        <w:rPr>
          <w:b w:val="0"/>
        </w:rPr>
        <w:t xml:space="preserve"> e visa a dar criar condições para que se promovam licitações para ativos do setor elétrico cujos contratos de concessão </w:t>
      </w:r>
      <w:r w:rsidR="00F254A2">
        <w:rPr>
          <w:b w:val="0"/>
        </w:rPr>
        <w:t>extintos</w:t>
      </w:r>
      <w:r>
        <w:rPr>
          <w:b w:val="0"/>
        </w:rPr>
        <w:t xml:space="preserve"> por advento do termo contratual. </w:t>
      </w:r>
    </w:p>
    <w:p w:rsidR="00D161C5" w:rsidRDefault="00D161C5" w:rsidP="00786E55">
      <w:pPr>
        <w:pStyle w:val="05-Subttulo-CLG"/>
        <w:ind w:firstLine="1418"/>
        <w:rPr>
          <w:b w:val="0"/>
        </w:rPr>
      </w:pPr>
      <w:r>
        <w:rPr>
          <w:b w:val="0"/>
        </w:rPr>
        <w:t>A Lei nº 12.783, de 2013, previu que concessões alcançadas pela Lei nº 9.074, de 1995, que não fossem prorrogadas, deveriam ser licitadas. Ocorre que o arcabouço lega</w:t>
      </w:r>
      <w:r w:rsidR="00023976">
        <w:rPr>
          <w:b w:val="0"/>
        </w:rPr>
        <w:t xml:space="preserve">l vigente </w:t>
      </w:r>
      <w:r>
        <w:rPr>
          <w:b w:val="0"/>
        </w:rPr>
        <w:t xml:space="preserve">não contém autorização explícita para essas licitações </w:t>
      </w:r>
      <w:r w:rsidR="00023976">
        <w:rPr>
          <w:b w:val="0"/>
        </w:rPr>
        <w:t>ocorram com a combinação de dois critérios: i) menor tarifa; e, ii) maior valor de outorga. O objetivo desse Capítulo é explicitar essa autorização</w:t>
      </w:r>
      <w:r w:rsidR="005900FE">
        <w:rPr>
          <w:b w:val="0"/>
        </w:rPr>
        <w:t xml:space="preserve"> e estabelecer as condições nas quais se dará a cobrança pela outorga</w:t>
      </w:r>
      <w:r w:rsidR="00023976">
        <w:rPr>
          <w:b w:val="0"/>
        </w:rPr>
        <w:t>.</w:t>
      </w:r>
    </w:p>
    <w:p w:rsidR="00081079" w:rsidRPr="00C05F25" w:rsidRDefault="00787F40" w:rsidP="00786E55">
      <w:pPr>
        <w:pStyle w:val="05-Subttulo-CLG"/>
        <w:ind w:firstLine="1418"/>
        <w:rPr>
          <w:b w:val="0"/>
        </w:rPr>
      </w:pPr>
      <w:r>
        <w:rPr>
          <w:b w:val="0"/>
        </w:rPr>
        <w:t xml:space="preserve"> </w:t>
      </w:r>
      <w:r w:rsidR="00023976">
        <w:rPr>
          <w:b w:val="0"/>
        </w:rPr>
        <w:t xml:space="preserve">Nesse sentido, a MPV promove </w:t>
      </w:r>
      <w:r>
        <w:rPr>
          <w:b w:val="0"/>
        </w:rPr>
        <w:t>altera</w:t>
      </w:r>
      <w:r w:rsidR="00023976">
        <w:rPr>
          <w:b w:val="0"/>
        </w:rPr>
        <w:t>ções n</w:t>
      </w:r>
      <w:r>
        <w:rPr>
          <w:b w:val="0"/>
        </w:rPr>
        <w:t xml:space="preserve">os </w:t>
      </w:r>
      <w:proofErr w:type="spellStart"/>
      <w:r>
        <w:rPr>
          <w:b w:val="0"/>
        </w:rPr>
        <w:t>arts</w:t>
      </w:r>
      <w:proofErr w:type="spellEnd"/>
      <w:r>
        <w:rPr>
          <w:b w:val="0"/>
        </w:rPr>
        <w:t>. 8º e 15 da Lei nº 12.783, de 2013, para instituir</w:t>
      </w:r>
      <w:r w:rsidRPr="00787F40">
        <w:rPr>
          <w:b w:val="0"/>
        </w:rPr>
        <w:t xml:space="preserve"> o </w:t>
      </w:r>
      <w:r>
        <w:rPr>
          <w:b w:val="0"/>
        </w:rPr>
        <w:t xml:space="preserve">citado </w:t>
      </w:r>
      <w:r w:rsidRPr="00787F40">
        <w:rPr>
          <w:b w:val="0"/>
        </w:rPr>
        <w:t xml:space="preserve">pagamento pela outorga, a chamada </w:t>
      </w:r>
      <w:r w:rsidRPr="00787F40">
        <w:rPr>
          <w:b w:val="0"/>
          <w:i/>
        </w:rPr>
        <w:t>bonificação pela outorga</w:t>
      </w:r>
      <w:r w:rsidR="00C037AA">
        <w:rPr>
          <w:b w:val="0"/>
        </w:rPr>
        <w:t xml:space="preserve">. </w:t>
      </w:r>
      <w:r w:rsidR="00234922">
        <w:rPr>
          <w:b w:val="0"/>
        </w:rPr>
        <w:t>O valor dessa bonificação e a</w:t>
      </w:r>
      <w:r w:rsidR="00C037AA">
        <w:rPr>
          <w:b w:val="0"/>
        </w:rPr>
        <w:t xml:space="preserve"> forma de pagamento </w:t>
      </w:r>
      <w:r w:rsidRPr="00787F40">
        <w:rPr>
          <w:b w:val="0"/>
        </w:rPr>
        <w:t>ser</w:t>
      </w:r>
      <w:r w:rsidR="00234922">
        <w:rPr>
          <w:b w:val="0"/>
        </w:rPr>
        <w:t>ão</w:t>
      </w:r>
      <w:r w:rsidRPr="00787F40">
        <w:rPr>
          <w:b w:val="0"/>
        </w:rPr>
        <w:t xml:space="preserve"> </w:t>
      </w:r>
      <w:r w:rsidR="00234922">
        <w:rPr>
          <w:b w:val="0"/>
        </w:rPr>
        <w:t>definidos</w:t>
      </w:r>
      <w:r w:rsidR="00C037AA">
        <w:rPr>
          <w:b w:val="0"/>
        </w:rPr>
        <w:t xml:space="preserve"> pelo Conselho Nacional de Política Energética (CNPE)</w:t>
      </w:r>
      <w:r w:rsidRPr="00787F40">
        <w:rPr>
          <w:b w:val="0"/>
        </w:rPr>
        <w:t>. O vencedor será aquele que ofertar a menor tarifa, além do pagamento da bonifica</w:t>
      </w:r>
      <w:r w:rsidR="00234922">
        <w:rPr>
          <w:b w:val="0"/>
        </w:rPr>
        <w:t>ção pela outorga. A critério do CNPE, o</w:t>
      </w:r>
      <w:r w:rsidRPr="00787F40">
        <w:rPr>
          <w:b w:val="0"/>
        </w:rPr>
        <w:t xml:space="preserve"> vencedor poderá vender até 30% da energia para o Mercado Livre, sendo que, no mínimo, 70% devem ser destinadas ao Mercado Cativo</w:t>
      </w:r>
      <w:r w:rsidR="00081079" w:rsidRPr="00787F40">
        <w:rPr>
          <w:b w:val="0"/>
        </w:rPr>
        <w:t>.</w:t>
      </w:r>
      <w:r>
        <w:rPr>
          <w:b w:val="0"/>
        </w:rPr>
        <w:t xml:space="preserve"> O art. 4º promove ajustes na Lei nº 9.478,</w:t>
      </w:r>
      <w:r w:rsidR="00234922">
        <w:rPr>
          <w:b w:val="0"/>
        </w:rPr>
        <w:t xml:space="preserve"> de 1997, para atribuir, ao CNPE, essas novas competências </w:t>
      </w:r>
      <w:r>
        <w:rPr>
          <w:b w:val="0"/>
        </w:rPr>
        <w:t>decorrentes da instituição da bonificação pela outorga.</w:t>
      </w:r>
    </w:p>
    <w:p w:rsidR="00081079" w:rsidRPr="00C05F25" w:rsidRDefault="00081079" w:rsidP="00081079">
      <w:pPr>
        <w:pStyle w:val="05-Pargrafodetexto-CLG"/>
      </w:pPr>
      <w:r w:rsidRPr="00C05F25">
        <w:t>Publicada a Me</w:t>
      </w:r>
      <w:r w:rsidR="00787F40">
        <w:t>dida Provisória n° 688, de 2015</w:t>
      </w:r>
      <w:r w:rsidR="00F56595">
        <w:t>,</w:t>
      </w:r>
      <w:r w:rsidRPr="00C05F25">
        <w:t xml:space="preserve"> abriu-se o prazo regimental para apresentação de emendas estabelecido no </w:t>
      </w:r>
      <w:r w:rsidRPr="00C05F25">
        <w:rPr>
          <w:i/>
        </w:rPr>
        <w:t>caput</w:t>
      </w:r>
      <w:r w:rsidRPr="00C05F25">
        <w:t xml:space="preserve"> do art. 4° </w:t>
      </w:r>
      <w:r w:rsidRPr="00C05F25">
        <w:rPr>
          <w:szCs w:val="28"/>
        </w:rPr>
        <w:t xml:space="preserve">da Resolução do Congresso Nacional nº 1, de </w:t>
      </w:r>
      <w:smartTag w:uri="urn:schemas-microsoft-com:office:smarttags" w:element="date">
        <w:smartTagPr>
          <w:attr w:name="ls" w:val="trans"/>
          <w:attr w:name="Month" w:val="5"/>
          <w:attr w:name="Day" w:val="8"/>
          <w:attr w:name="Year" w:val="2002"/>
        </w:smartTagPr>
        <w:r w:rsidRPr="00C05F25">
          <w:rPr>
            <w:szCs w:val="28"/>
          </w:rPr>
          <w:t>8 de maio de 2002</w:t>
        </w:r>
      </w:smartTag>
      <w:r w:rsidRPr="00C05F25">
        <w:t>, duran</w:t>
      </w:r>
      <w:r w:rsidR="00787F40">
        <w:t>te o qual foram apresentadas 78</w:t>
      </w:r>
      <w:r w:rsidRPr="00C05F25">
        <w:t xml:space="preserve"> (</w:t>
      </w:r>
      <w:r w:rsidR="00787F40">
        <w:t>setenta e oito</w:t>
      </w:r>
      <w:r w:rsidRPr="00C05F25">
        <w:t>) emendas.</w:t>
      </w:r>
    </w:p>
    <w:p w:rsidR="00081079" w:rsidRDefault="00081079" w:rsidP="00081079">
      <w:pPr>
        <w:pStyle w:val="05-Subttulo-CLG"/>
      </w:pPr>
      <w:r>
        <w:t>II – ANÁLISE</w:t>
      </w:r>
    </w:p>
    <w:p w:rsidR="00081079" w:rsidRDefault="00081079" w:rsidP="00081079">
      <w:pPr>
        <w:pStyle w:val="05-Subttulo-CLG"/>
      </w:pPr>
      <w:r>
        <w:t xml:space="preserve">II.1 Da </w:t>
      </w:r>
      <w:r w:rsidRPr="007B1FE2">
        <w:t>Constitucionalidade</w:t>
      </w:r>
    </w:p>
    <w:p w:rsidR="00B75155" w:rsidRDefault="00B75155" w:rsidP="00B75155">
      <w:pPr>
        <w:pStyle w:val="05-Pargrafodetexto-CLG"/>
        <w:rPr>
          <w:color w:val="000000"/>
        </w:rPr>
      </w:pPr>
      <w:r>
        <w:rPr>
          <w:color w:val="000000"/>
        </w:rPr>
        <w:t xml:space="preserve">Não encontramos quaisquer vícios na Medida Provisória nº 688, de 2015, no que se refere à constitucionalidade. De fato, </w:t>
      </w:r>
      <w:r w:rsidR="00235896">
        <w:rPr>
          <w:color w:val="000000"/>
        </w:rPr>
        <w:t>a MPV foi editada pela</w:t>
      </w:r>
      <w:r>
        <w:rPr>
          <w:color w:val="000000"/>
        </w:rPr>
        <w:t xml:space="preserve"> Presidente da República obedecendo </w:t>
      </w:r>
      <w:r w:rsidR="00574515">
        <w:rPr>
          <w:color w:val="000000"/>
        </w:rPr>
        <w:t xml:space="preserve">a </w:t>
      </w:r>
      <w:r>
        <w:rPr>
          <w:color w:val="000000"/>
        </w:rPr>
        <w:t>todos os requisitos formais e materiais constantes do art. 62 da Constituição Federal</w:t>
      </w:r>
      <w:r w:rsidR="00092ED7">
        <w:rPr>
          <w:color w:val="000000"/>
        </w:rPr>
        <w:t>.</w:t>
      </w:r>
    </w:p>
    <w:p w:rsidR="00092ED7" w:rsidRDefault="00092ED7" w:rsidP="00B75155">
      <w:pPr>
        <w:pStyle w:val="05-Pargrafodetexto-CLG"/>
        <w:rPr>
          <w:color w:val="000000"/>
        </w:rPr>
      </w:pPr>
      <w:r>
        <w:rPr>
          <w:color w:val="000000"/>
        </w:rPr>
        <w:t>A MPV também obedece aos comandos da Resolução nº 1, de 2002 – CN, mormente no que se refere ao § 1º do art. 2º, tendo sido encaminhada ao Congresso Nacional no dia de sua publicação, acompanhada da respectiva mensagem e da exposição de motivos.</w:t>
      </w:r>
    </w:p>
    <w:p w:rsidR="00092ED7" w:rsidRDefault="00092ED7" w:rsidP="00092ED7">
      <w:pPr>
        <w:pStyle w:val="05-Pargrafodetexto-CLG"/>
        <w:rPr>
          <w:color w:val="000000"/>
        </w:rPr>
      </w:pPr>
      <w:r>
        <w:rPr>
          <w:color w:val="000000"/>
        </w:rPr>
        <w:t>Quanto aos aspectos de relevância e urg</w:t>
      </w:r>
      <w:r w:rsidR="001425B2">
        <w:rPr>
          <w:color w:val="000000"/>
        </w:rPr>
        <w:t>ência, lemos na</w:t>
      </w:r>
      <w:r>
        <w:rPr>
          <w:color w:val="000000"/>
        </w:rPr>
        <w:t xml:space="preserve"> exposição de motivos</w:t>
      </w:r>
      <w:r w:rsidR="001425B2">
        <w:rPr>
          <w:color w:val="000000"/>
        </w:rPr>
        <w:t xml:space="preserve"> do ato</w:t>
      </w:r>
      <w:r>
        <w:rPr>
          <w:color w:val="000000"/>
        </w:rPr>
        <w:t xml:space="preserve"> que </w:t>
      </w:r>
      <w:r w:rsidRPr="00092ED7">
        <w:rPr>
          <w:i/>
          <w:color w:val="000000"/>
        </w:rPr>
        <w:t>para que a repactuação do risco hidrológico possa ser implementada, faz-se necessário adoção de dispositivos legais que confiram o devido amparo à solução da questão</w:t>
      </w:r>
      <w:r>
        <w:rPr>
          <w:color w:val="000000"/>
        </w:rPr>
        <w:t>.</w:t>
      </w:r>
    </w:p>
    <w:p w:rsidR="00092ED7" w:rsidRPr="00B75155" w:rsidRDefault="00D371EC" w:rsidP="00092ED7">
      <w:pPr>
        <w:pStyle w:val="05-Pargrafodetexto-CLG"/>
        <w:rPr>
          <w:color w:val="000000"/>
        </w:rPr>
      </w:pPr>
      <w:r>
        <w:t>Assim, q</w:t>
      </w:r>
      <w:r w:rsidR="00092ED7">
        <w:t xml:space="preserve">uanto à relevância da MPV nº 688, de 2015, afirma-se </w:t>
      </w:r>
      <w:r w:rsidR="00092ED7" w:rsidRPr="00092ED7">
        <w:rPr>
          <w:i/>
        </w:rPr>
        <w:t>que ela contribuirá para a continuidade da iniciativa estruturada de dotar o País de um sistema elétrico robusto e de baixo custo, assim como manter uma trajetória sustentável da dívida pública</w:t>
      </w:r>
      <w:r w:rsidR="00092ED7">
        <w:t>.</w:t>
      </w:r>
    </w:p>
    <w:p w:rsidR="00092ED7" w:rsidRDefault="00092ED7" w:rsidP="00092ED7">
      <w:pPr>
        <w:pStyle w:val="05-Pargrafodetexto-CLG"/>
      </w:pPr>
      <w:r>
        <w:rPr>
          <w:color w:val="000000"/>
        </w:rPr>
        <w:t>Doutra parte, prossegue a</w:t>
      </w:r>
      <w:r>
        <w:t xml:space="preserve"> exposição de motivos afirmando</w:t>
      </w:r>
      <w:r>
        <w:rPr>
          <w:color w:val="000000"/>
        </w:rPr>
        <w:t xml:space="preserve"> que </w:t>
      </w:r>
      <w:r w:rsidRPr="00092ED7">
        <w:rPr>
          <w:i/>
        </w:rPr>
        <w:t>em relação à urgência desta medida, cabe mencionar o momento propício da adoção das alterações propostas, tendo em vista que a licitação dos ativos nos moldes aqui apresentados serviria como mais um instrumento indutor do desenvolvimento econômico, do equilíbrio fiscal da União e do fortalecimento do sistema elétrico brasileiro</w:t>
      </w:r>
      <w:r>
        <w:t>.</w:t>
      </w:r>
    </w:p>
    <w:p w:rsidR="00092ED7" w:rsidRDefault="00092ED7" w:rsidP="00092ED7">
      <w:pPr>
        <w:pStyle w:val="05-Pargrafodetexto-CLG"/>
      </w:pPr>
      <w:r>
        <w:t>Desse modo, configurados se mostram</w:t>
      </w:r>
      <w:r w:rsidR="00235896">
        <w:t xml:space="preserve"> os aspectos de relevância e urgência da MPV nº 688, de 2015.</w:t>
      </w:r>
    </w:p>
    <w:p w:rsidR="00081079" w:rsidRDefault="00081079" w:rsidP="00081079">
      <w:pPr>
        <w:pStyle w:val="05-Subttulo-CLG"/>
      </w:pPr>
      <w:r>
        <w:t>II.2 Da Adequação Orçamentária e Financeira</w:t>
      </w:r>
    </w:p>
    <w:p w:rsidR="007F6C81" w:rsidRDefault="007F6C81" w:rsidP="007F6C81">
      <w:pPr>
        <w:pStyle w:val="05-Subttulo-CLG"/>
        <w:ind w:firstLine="1418"/>
        <w:rPr>
          <w:b w:val="0"/>
        </w:rPr>
      </w:pPr>
      <w:r>
        <w:rPr>
          <w:b w:val="0"/>
        </w:rPr>
        <w:t>A</w:t>
      </w:r>
      <w:r w:rsidRPr="00BA59F0">
        <w:rPr>
          <w:b w:val="0"/>
        </w:rPr>
        <w:t xml:space="preserve"> </w:t>
      </w:r>
      <w:r>
        <w:rPr>
          <w:b w:val="0"/>
        </w:rPr>
        <w:t xml:space="preserve">Lei </w:t>
      </w:r>
      <w:r w:rsidRPr="00BA59F0">
        <w:rPr>
          <w:b w:val="0"/>
        </w:rPr>
        <w:t xml:space="preserve">nº 13.080, de </w:t>
      </w:r>
      <w:proofErr w:type="gramStart"/>
      <w:r w:rsidRPr="00BA59F0">
        <w:rPr>
          <w:b w:val="0"/>
        </w:rPr>
        <w:t>2</w:t>
      </w:r>
      <w:proofErr w:type="gramEnd"/>
      <w:r w:rsidRPr="00BA59F0">
        <w:rPr>
          <w:b w:val="0"/>
        </w:rPr>
        <w:t xml:space="preserve"> de janeiro de 2015, </w:t>
      </w:r>
      <w:r>
        <w:rPr>
          <w:b w:val="0"/>
        </w:rPr>
        <w:t xml:space="preserve">que dispõe sobre as </w:t>
      </w:r>
      <w:r w:rsidRPr="008D6C4F">
        <w:rPr>
          <w:b w:val="0"/>
        </w:rPr>
        <w:t xml:space="preserve">diretrizes para a elaboração e </w:t>
      </w:r>
      <w:r>
        <w:rPr>
          <w:b w:val="0"/>
        </w:rPr>
        <w:t xml:space="preserve">a </w:t>
      </w:r>
      <w:r w:rsidRPr="008D6C4F">
        <w:rPr>
          <w:b w:val="0"/>
        </w:rPr>
        <w:t>execução da Lei Orçamentária de 2015</w:t>
      </w:r>
      <w:r>
        <w:rPr>
          <w:b w:val="0"/>
        </w:rPr>
        <w:t xml:space="preserve">, </w:t>
      </w:r>
      <w:r w:rsidRPr="00BA59F0">
        <w:rPr>
          <w:b w:val="0"/>
        </w:rPr>
        <w:t>em seu art. 109, determina que os projetos de lei ou medidas provisórias aprovados devem ser acompanhados de demonstrativo de impacto na arrecadação, devidamente justificado.</w:t>
      </w:r>
    </w:p>
    <w:p w:rsidR="007F6C81" w:rsidRDefault="007F6C81" w:rsidP="007F6C81">
      <w:pPr>
        <w:pStyle w:val="05-Subttulo-CLG"/>
        <w:ind w:firstLine="1418"/>
        <w:rPr>
          <w:b w:val="0"/>
        </w:rPr>
      </w:pPr>
      <w:r>
        <w:rPr>
          <w:b w:val="0"/>
        </w:rPr>
        <w:t>A Resolução nº 1, de 9 de maio de 2002 – CN, determina, em seu art. 19, que o</w:t>
      </w:r>
      <w:r w:rsidRPr="003B0391">
        <w:rPr>
          <w:b w:val="0"/>
        </w:rPr>
        <w:t xml:space="preserve"> órgão de consultoria e assessoramento orçamentário da Casa a que pertencer o</w:t>
      </w:r>
      <w:r>
        <w:rPr>
          <w:b w:val="0"/>
        </w:rPr>
        <w:t xml:space="preserve"> </w:t>
      </w:r>
      <w:r w:rsidRPr="003B0391">
        <w:rPr>
          <w:b w:val="0"/>
        </w:rPr>
        <w:t>Relator de Medida Provisória encaminhará aos Relatores e à Comissão, no prazo de 5 (cinco) dias</w:t>
      </w:r>
      <w:r>
        <w:rPr>
          <w:b w:val="0"/>
        </w:rPr>
        <w:t xml:space="preserve"> </w:t>
      </w:r>
      <w:r w:rsidRPr="003B0391">
        <w:rPr>
          <w:b w:val="0"/>
        </w:rPr>
        <w:t>de sua publicação, nota técnica com subsídios acerca da adequação fi</w:t>
      </w:r>
      <w:r>
        <w:rPr>
          <w:b w:val="0"/>
        </w:rPr>
        <w:t xml:space="preserve">nanceira e orçamentária. </w:t>
      </w:r>
      <w:r w:rsidR="00E4573B">
        <w:rPr>
          <w:b w:val="0"/>
        </w:rPr>
        <w:t xml:space="preserve">Nesse contexto, a </w:t>
      </w:r>
      <w:r w:rsidR="00E4573B" w:rsidRPr="00B51E04">
        <w:rPr>
          <w:b w:val="0"/>
        </w:rPr>
        <w:t>Consultoria de Orçamentos, Fiscalização e Controle do Senado Federal (CONORF)</w:t>
      </w:r>
      <w:r w:rsidR="00E4573B">
        <w:rPr>
          <w:b w:val="0"/>
        </w:rPr>
        <w:t xml:space="preserve"> </w:t>
      </w:r>
      <w:r>
        <w:rPr>
          <w:b w:val="0"/>
        </w:rPr>
        <w:t xml:space="preserve">elaborou a </w:t>
      </w:r>
      <w:r w:rsidRPr="003B0391">
        <w:rPr>
          <w:b w:val="0"/>
        </w:rPr>
        <w:t>Nota Técnica de Adequação Orçamentária e Financeira nº 26</w:t>
      </w:r>
      <w:r>
        <w:rPr>
          <w:b w:val="0"/>
        </w:rPr>
        <w:t xml:space="preserve">, de 26 de agosto de </w:t>
      </w:r>
      <w:r w:rsidRPr="003B0391">
        <w:rPr>
          <w:b w:val="0"/>
        </w:rPr>
        <w:t>2015</w:t>
      </w:r>
      <w:r>
        <w:rPr>
          <w:b w:val="0"/>
        </w:rPr>
        <w:t>, em que relevou não haver subsídios suficientes para a avaliação da repercussão na receita e na despesa, uma vez que os documentos não permitem, mesmo que minimamente, fazer projeção confiável. Em face disso, esse Relator adotou as providências necessárias junto ao Poder Executivo, no que concerne à estimativa de receita, para a devida adequação aos preceitos legais.</w:t>
      </w:r>
    </w:p>
    <w:p w:rsidR="007F6C81" w:rsidRDefault="00E4573B" w:rsidP="007F6C81">
      <w:pPr>
        <w:pStyle w:val="05-Subttulo-CLG"/>
        <w:ind w:firstLine="1418"/>
        <w:rPr>
          <w:b w:val="0"/>
        </w:rPr>
      </w:pPr>
      <w:r>
        <w:rPr>
          <w:b w:val="0"/>
        </w:rPr>
        <w:t>O</w:t>
      </w:r>
      <w:r w:rsidR="007F6C81">
        <w:rPr>
          <w:b w:val="0"/>
        </w:rPr>
        <w:t xml:space="preserve"> Ministério da Fazenda, por intermédio do Secretário do Tesouro Nacional (STN), Sr. Marcelo Barbosa </w:t>
      </w:r>
      <w:proofErr w:type="spellStart"/>
      <w:r w:rsidR="007F6C81">
        <w:rPr>
          <w:b w:val="0"/>
        </w:rPr>
        <w:t>Saintive</w:t>
      </w:r>
      <w:proofErr w:type="spellEnd"/>
      <w:r w:rsidR="007F6C81">
        <w:rPr>
          <w:b w:val="0"/>
        </w:rPr>
        <w:t>, expediu a Nota Técnica nº 28/2015/COAPI/SUPOF/STN/MF-DF, de 21 de outubro de 2015, em que estabelece parâmetros para a realização da estimativa de receitas.</w:t>
      </w:r>
    </w:p>
    <w:p w:rsidR="007F6C81" w:rsidRDefault="007F6C81" w:rsidP="007F6C81">
      <w:pPr>
        <w:pStyle w:val="05-Subttulo-CLG"/>
        <w:ind w:firstLine="1418"/>
        <w:rPr>
          <w:b w:val="0"/>
        </w:rPr>
      </w:pPr>
      <w:r>
        <w:rPr>
          <w:b w:val="0"/>
        </w:rPr>
        <w:t>Dentre os parâmetros destaco: i) a sugestão do Ministério da Fazenda ao Ministério de Minas e Energia de que 65% (sessenta e cinco por cento) do valor da outorga fossem pago no ato da assinatura do contrato de concessão, ainda em 2015, e 35% (trinta e cinco por cento) em até 180 dias, corrigidos pela taxa SELIC a partir do pagamento da primeira parcela; ii) o estabelecimento de taxa de remuneração do investimento em 9,04% ao ano, expressos em termos reais líquidos de impostos, a partir de 1º de janeiro de 2016, data de início do prazo de concessão; e iii) destinação da totalidade da energia ao Ambiente de Contratação Regulado no ano de 2016 e 70% a partir de 2017.</w:t>
      </w:r>
    </w:p>
    <w:p w:rsidR="007F6C81" w:rsidRPr="00F1514C" w:rsidRDefault="00E4573B" w:rsidP="007F6C81">
      <w:pPr>
        <w:pStyle w:val="05-Subttulo-CLG"/>
        <w:ind w:firstLine="1418"/>
        <w:rPr>
          <w:b w:val="0"/>
        </w:rPr>
      </w:pPr>
      <w:r>
        <w:rPr>
          <w:b w:val="0"/>
        </w:rPr>
        <w:t>Isso posto</w:t>
      </w:r>
      <w:r w:rsidR="007F6C81">
        <w:rPr>
          <w:b w:val="0"/>
        </w:rPr>
        <w:t xml:space="preserve">, estima-se que, sendo exitoso o leilão das concessões de geração segundo o mecanismo de bonificação pela outorga, nos termos da MPV nº 688, de 2015, </w:t>
      </w:r>
      <w:r>
        <w:rPr>
          <w:b w:val="0"/>
        </w:rPr>
        <w:t xml:space="preserve">o </w:t>
      </w:r>
      <w:r w:rsidR="007F6C81">
        <w:rPr>
          <w:b w:val="0"/>
        </w:rPr>
        <w:t xml:space="preserve">impacto positivo </w:t>
      </w:r>
      <w:r>
        <w:rPr>
          <w:b w:val="0"/>
        </w:rPr>
        <w:t xml:space="preserve">será </w:t>
      </w:r>
      <w:r w:rsidR="007F6C81">
        <w:rPr>
          <w:b w:val="0"/>
        </w:rPr>
        <w:t xml:space="preserve">da ordem de R$ </w:t>
      </w:r>
      <w:r>
        <w:rPr>
          <w:b w:val="0"/>
        </w:rPr>
        <w:t>11</w:t>
      </w:r>
      <w:r w:rsidR="007F6C81">
        <w:rPr>
          <w:b w:val="0"/>
        </w:rPr>
        <w:t xml:space="preserve"> bilhões n</w:t>
      </w:r>
      <w:r>
        <w:rPr>
          <w:b w:val="0"/>
        </w:rPr>
        <w:t>o orçamento de 2015 e de R$ 6</w:t>
      </w:r>
      <w:r w:rsidR="007F6C81">
        <w:rPr>
          <w:b w:val="0"/>
        </w:rPr>
        <w:t xml:space="preserve"> bilhões no orçamento de 2016. </w:t>
      </w:r>
    </w:p>
    <w:p w:rsidR="00081079" w:rsidRDefault="00081079" w:rsidP="00081079">
      <w:pPr>
        <w:pStyle w:val="05-Subttulo-CLG"/>
      </w:pPr>
      <w:r>
        <w:t xml:space="preserve">II.3 Do </w:t>
      </w:r>
      <w:r w:rsidRPr="007B1FE2">
        <w:t>Mérito</w:t>
      </w:r>
    </w:p>
    <w:p w:rsidR="00F1514C" w:rsidRDefault="00053797" w:rsidP="00F1514C">
      <w:pPr>
        <w:pStyle w:val="05-Subttulo-CLG"/>
        <w:ind w:firstLine="1418"/>
        <w:rPr>
          <w:b w:val="0"/>
        </w:rPr>
      </w:pPr>
      <w:r>
        <w:rPr>
          <w:b w:val="0"/>
        </w:rPr>
        <w:t>É inegável o mérito da Medida Provisória nº 688, de 2015. A matriz de energia elétrica do Brasil é lastreada em usinas hidroelétricas, que produzem em torno de 70% de toda a energia consumida no País. Por isso, o setor elétrico é tão vulnerável à escassez de água, como a que</w:t>
      </w:r>
      <w:r w:rsidR="00627E31">
        <w:rPr>
          <w:b w:val="0"/>
        </w:rPr>
        <w:t xml:space="preserve"> vem assolando o País desde a primavera de 2012</w:t>
      </w:r>
      <w:r>
        <w:rPr>
          <w:b w:val="0"/>
        </w:rPr>
        <w:t>.</w:t>
      </w:r>
    </w:p>
    <w:p w:rsidR="00053797" w:rsidRDefault="00627E31" w:rsidP="00F1514C">
      <w:pPr>
        <w:pStyle w:val="05-Subttulo-CLG"/>
        <w:ind w:firstLine="1418"/>
        <w:rPr>
          <w:b w:val="0"/>
        </w:rPr>
      </w:pPr>
      <w:r>
        <w:rPr>
          <w:b w:val="0"/>
        </w:rPr>
        <w:t>O protagonismo das usinas hidrelétricas na matriz de energia elétrica não dá espaço para embates judiciais da ordem que se verifica atualmente em relação ao risco hidrológico, pois tais embates contaminam o processo de liquidação de contratos no âmbito do mercad</w:t>
      </w:r>
      <w:r w:rsidR="00784AC2">
        <w:rPr>
          <w:b w:val="0"/>
        </w:rPr>
        <w:t>o de energia elétrica e</w:t>
      </w:r>
      <w:r>
        <w:rPr>
          <w:b w:val="0"/>
        </w:rPr>
        <w:t xml:space="preserve"> ameaçam paralisar todo o setor elétrico, com grave risco para o País. Portanto, é muito bem-vinda a iniciativa do Poder Executivo de propor uma solução para o impasse.</w:t>
      </w:r>
    </w:p>
    <w:p w:rsidR="00627E31" w:rsidRDefault="00627E31" w:rsidP="00F1514C">
      <w:pPr>
        <w:pStyle w:val="05-Subttulo-CLG"/>
        <w:ind w:firstLine="1418"/>
        <w:rPr>
          <w:b w:val="0"/>
        </w:rPr>
      </w:pPr>
      <w:r>
        <w:rPr>
          <w:b w:val="0"/>
        </w:rPr>
        <w:t>Essa solução tem gênese nas inúmeras manifestaçõ</w:t>
      </w:r>
      <w:r w:rsidR="00784AC2">
        <w:rPr>
          <w:b w:val="0"/>
        </w:rPr>
        <w:t xml:space="preserve">es de agentes do setor elétrico, </w:t>
      </w:r>
      <w:r>
        <w:rPr>
          <w:b w:val="0"/>
        </w:rPr>
        <w:t xml:space="preserve">preocupados </w:t>
      </w:r>
      <w:r w:rsidR="00784AC2">
        <w:rPr>
          <w:b w:val="0"/>
        </w:rPr>
        <w:t xml:space="preserve">que estavam </w:t>
      </w:r>
      <w:r>
        <w:rPr>
          <w:b w:val="0"/>
        </w:rPr>
        <w:t xml:space="preserve">com o impasse </w:t>
      </w:r>
      <w:r w:rsidR="00B257C0">
        <w:rPr>
          <w:b w:val="0"/>
        </w:rPr>
        <w:t>na liquidação dos contratos</w:t>
      </w:r>
      <w:r>
        <w:rPr>
          <w:b w:val="0"/>
        </w:rPr>
        <w:t xml:space="preserve">. Em face da potencial afetação de direitos dos agentes, </w:t>
      </w:r>
      <w:r w:rsidR="00784AC2">
        <w:rPr>
          <w:b w:val="0"/>
        </w:rPr>
        <w:t>inclusive dos consumidores, e em conformidade com o</w:t>
      </w:r>
      <w:r>
        <w:rPr>
          <w:b w:val="0"/>
        </w:rPr>
        <w:t xml:space="preserve"> disposto </w:t>
      </w:r>
      <w:r w:rsidR="00784AC2">
        <w:rPr>
          <w:b w:val="0"/>
        </w:rPr>
        <w:t>no art. 4º, § 3º d</w:t>
      </w:r>
      <w:r>
        <w:rPr>
          <w:b w:val="0"/>
        </w:rPr>
        <w:t>a Lei nº 9.427, de 1996,</w:t>
      </w:r>
      <w:r w:rsidR="00784AC2">
        <w:rPr>
          <w:b w:val="0"/>
        </w:rPr>
        <w:t xml:space="preserve"> </w:t>
      </w:r>
      <w:r>
        <w:rPr>
          <w:b w:val="0"/>
        </w:rPr>
        <w:t xml:space="preserve">a Aneel </w:t>
      </w:r>
      <w:r w:rsidR="00784AC2">
        <w:rPr>
          <w:b w:val="0"/>
        </w:rPr>
        <w:t>realizou</w:t>
      </w:r>
      <w:r>
        <w:rPr>
          <w:b w:val="0"/>
        </w:rPr>
        <w:t xml:space="preserve"> audiência pública </w:t>
      </w:r>
      <w:r w:rsidR="00784AC2">
        <w:rPr>
          <w:b w:val="0"/>
        </w:rPr>
        <w:t>visando à busca de solução para a questão. Com base nas contribuições recebidas, concebeu-se a solução que ora analisamos.</w:t>
      </w:r>
      <w:r>
        <w:rPr>
          <w:b w:val="0"/>
        </w:rPr>
        <w:t xml:space="preserve"> </w:t>
      </w:r>
      <w:r w:rsidR="00B257C0">
        <w:rPr>
          <w:b w:val="0"/>
        </w:rPr>
        <w:t xml:space="preserve">Trata-se, portanto, de proposta de solução da qual participaram tanto o Poder Executivo quanto os agentes do setor elétrico. </w:t>
      </w:r>
    </w:p>
    <w:p w:rsidR="00784AC2" w:rsidRDefault="001C0229" w:rsidP="00F1514C">
      <w:pPr>
        <w:pStyle w:val="05-Subttulo-CLG"/>
        <w:ind w:firstLine="1418"/>
        <w:rPr>
          <w:b w:val="0"/>
        </w:rPr>
      </w:pPr>
      <w:r>
        <w:rPr>
          <w:b w:val="0"/>
        </w:rPr>
        <w:t>No que concerne à</w:t>
      </w:r>
      <w:r w:rsidR="00784AC2">
        <w:rPr>
          <w:b w:val="0"/>
        </w:rPr>
        <w:t xml:space="preserve"> cobrança de bonificação pela outorga de concessão de geração, transmissão e distribuição de energia elétrica, mediante licitação, trata-se de medida com importante impacto positivo para o equilíbrio fiscal do Governo. </w:t>
      </w:r>
    </w:p>
    <w:p w:rsidR="007F2FC8" w:rsidRDefault="007F2FC8" w:rsidP="00784AC2">
      <w:pPr>
        <w:pStyle w:val="05-Pargrafodetextosumrioexecutivo-CLG"/>
        <w:spacing w:line="240" w:lineRule="auto"/>
      </w:pPr>
      <w:r>
        <w:t>Em relação às concessões de geração</w:t>
      </w:r>
      <w:r w:rsidR="001C0229">
        <w:t xml:space="preserve"> que serão objeto de imediata outorga</w:t>
      </w:r>
      <w:r>
        <w:t>, s</w:t>
      </w:r>
      <w:r w:rsidR="00784AC2">
        <w:t>ão vi</w:t>
      </w:r>
      <w:r w:rsidR="00E4573B">
        <w:t>nte e nove usinas hidrelétricas</w:t>
      </w:r>
      <w:r w:rsidR="00784AC2">
        <w:t xml:space="preserve"> com contratos de concessão v</w:t>
      </w:r>
      <w:r w:rsidR="001C0229">
        <w:t>encendo entre 2015 e 2017. Elas</w:t>
      </w:r>
      <w:r w:rsidR="00784AC2">
        <w:t xml:space="preserve"> deverão ser licitadas em novembro deste ano, totalizando 6.601 MW de potência instalada. Em sua maioria, são usinas de pequeno porte, com destaque para hidrelétricas de </w:t>
      </w:r>
      <w:proofErr w:type="spellStart"/>
      <w:r w:rsidR="00784AC2">
        <w:t>Jupiá</w:t>
      </w:r>
      <w:proofErr w:type="spellEnd"/>
      <w:r w:rsidR="00784AC2">
        <w:t xml:space="preserve"> e Ilha Solteira, respectivamente com 1.551 MW e 3.444 MW. Outras hidrelétricas de porte médio são Três Marias, Salto Grande e Capivari-Cachoeira, respectivamente com 396 MW, 102 MW e 260 MW. Os restantes 848 MW estão distribuídos entre vinte e quatro Pequenas Centrais Hidrelétricas.</w:t>
      </w:r>
      <w:r w:rsidR="001C0229">
        <w:t xml:space="preserve"> </w:t>
      </w:r>
      <w:r w:rsidR="00784AC2">
        <w:t xml:space="preserve">Com essas licitações, o </w:t>
      </w:r>
      <w:r w:rsidR="00E4573B">
        <w:t>Poder Executivo</w:t>
      </w:r>
      <w:r w:rsidR="00784AC2">
        <w:t xml:space="preserve"> estima arrecadar cerca de R$ 17 bilhões, o que certamente contribuirá para equilibrar o orçamento. </w:t>
      </w:r>
    </w:p>
    <w:p w:rsidR="00784AC2" w:rsidRDefault="00E827CE" w:rsidP="00F1514C">
      <w:pPr>
        <w:pStyle w:val="05-Subttulo-CLG"/>
        <w:ind w:firstLine="1418"/>
        <w:rPr>
          <w:b w:val="0"/>
        </w:rPr>
      </w:pPr>
      <w:r>
        <w:rPr>
          <w:b w:val="0"/>
        </w:rPr>
        <w:t xml:space="preserve">No entanto, entendo que cabem alguns </w:t>
      </w:r>
      <w:r w:rsidR="00383ED6">
        <w:rPr>
          <w:b w:val="0"/>
        </w:rPr>
        <w:t>aperfeiçoamentos</w:t>
      </w:r>
      <w:r>
        <w:rPr>
          <w:b w:val="0"/>
        </w:rPr>
        <w:t xml:space="preserve"> ao texto que passo a relatar.</w:t>
      </w:r>
      <w:r w:rsidR="00B446B8">
        <w:rPr>
          <w:b w:val="0"/>
        </w:rPr>
        <w:t xml:space="preserve"> Algumas das emendas apresentadas pelos Nobres Parlamentares trazem inequívoc</w:t>
      </w:r>
      <w:r w:rsidR="00383ED6">
        <w:rPr>
          <w:b w:val="0"/>
        </w:rPr>
        <w:t>o aprimoramento ao texto origin</w:t>
      </w:r>
      <w:r w:rsidR="00DD18AF">
        <w:rPr>
          <w:b w:val="0"/>
        </w:rPr>
        <w:t xml:space="preserve">al. Em particular, as emendas </w:t>
      </w:r>
      <w:r w:rsidR="007332ED">
        <w:rPr>
          <w:b w:val="0"/>
        </w:rPr>
        <w:t>nº</w:t>
      </w:r>
      <w:r w:rsidR="00383ED6">
        <w:rPr>
          <w:b w:val="0"/>
        </w:rPr>
        <w:t xml:space="preserve"> 3, da Deputada Tereza Cristina, nº 23, do Deputado Manoel Júnior, nº 27, nº 29 e nº 32, do Senador Blairo Maggi, nº 44, do Senador Acir </w:t>
      </w:r>
      <w:proofErr w:type="spellStart"/>
      <w:r w:rsidR="00383ED6">
        <w:rPr>
          <w:b w:val="0"/>
        </w:rPr>
        <w:t>Gurgacz</w:t>
      </w:r>
      <w:proofErr w:type="spellEnd"/>
      <w:r w:rsidR="00383ED6">
        <w:rPr>
          <w:b w:val="0"/>
        </w:rPr>
        <w:t>, nº 61 e nº 62, do Deputado Leonardo Quintão, nº 63 e nº 64, do Senador Paulo Bauer, aduzem melhorias ao texto, favorecendo a adesão de agentes de geração e do mercado não regulado à repactuação do risco hidrol</w:t>
      </w:r>
      <w:r w:rsidR="00654C95">
        <w:rPr>
          <w:b w:val="0"/>
        </w:rPr>
        <w:t>ógico, tratada no capítulo I da Medida Provisória. Acrescentei ainda outras alterações que visam a favorecer ainda mais a adesão dos agentes de ger</w:t>
      </w:r>
      <w:r w:rsidR="00036F00">
        <w:rPr>
          <w:b w:val="0"/>
        </w:rPr>
        <w:t>ação aos termos da repactuação</w:t>
      </w:r>
      <w:r w:rsidR="00390260">
        <w:rPr>
          <w:b w:val="0"/>
        </w:rPr>
        <w:t>, entre elas a que garante o direito à adesão para usinas que saíram do MRE em 2015, antes da edição desta Medida Provisória</w:t>
      </w:r>
      <w:r w:rsidR="00036F00">
        <w:rPr>
          <w:b w:val="0"/>
        </w:rPr>
        <w:t>.</w:t>
      </w:r>
    </w:p>
    <w:p w:rsidR="0067074F" w:rsidRDefault="00383ED6" w:rsidP="00F1514C">
      <w:pPr>
        <w:pStyle w:val="05-Subttulo-CLG"/>
        <w:ind w:firstLine="1418"/>
        <w:rPr>
          <w:b w:val="0"/>
        </w:rPr>
      </w:pPr>
      <w:r>
        <w:rPr>
          <w:b w:val="0"/>
        </w:rPr>
        <w:t xml:space="preserve">Proponho ainda outras inclusões no texto que, entendo, trazem adequações ao </w:t>
      </w:r>
      <w:r w:rsidR="0067074F">
        <w:rPr>
          <w:b w:val="0"/>
        </w:rPr>
        <w:t>ambiente jurídico que rege o</w:t>
      </w:r>
      <w:r>
        <w:rPr>
          <w:b w:val="0"/>
        </w:rPr>
        <w:t xml:space="preserve"> setor elétrico</w:t>
      </w:r>
      <w:r w:rsidRPr="00390260">
        <w:rPr>
          <w:b w:val="0"/>
        </w:rPr>
        <w:t>.</w:t>
      </w:r>
      <w:r w:rsidR="00036F00" w:rsidRPr="00390260">
        <w:rPr>
          <w:b w:val="0"/>
        </w:rPr>
        <w:t xml:space="preserve"> </w:t>
      </w:r>
      <w:r w:rsidR="0067074F" w:rsidRPr="00390260">
        <w:rPr>
          <w:b w:val="0"/>
        </w:rPr>
        <w:t>Quando a atuação do Estado causa atraso na operação de um dado empreendimento</w:t>
      </w:r>
      <w:r w:rsidR="00390260">
        <w:rPr>
          <w:b w:val="0"/>
        </w:rPr>
        <w:t xml:space="preserve"> de geração</w:t>
      </w:r>
      <w:r w:rsidR="00AB7735">
        <w:rPr>
          <w:b w:val="0"/>
        </w:rPr>
        <w:t xml:space="preserve"> ou de transmissão</w:t>
      </w:r>
      <w:r w:rsidR="0067074F" w:rsidRPr="00390260">
        <w:rPr>
          <w:b w:val="0"/>
        </w:rPr>
        <w:t>, o custo tem recaído sobre aquele empreendedor que detém a outorga. Para sanar tal injustiça, acato</w:t>
      </w:r>
      <w:r w:rsidR="00C738CF">
        <w:rPr>
          <w:b w:val="0"/>
        </w:rPr>
        <w:t xml:space="preserve"> parcialmente</w:t>
      </w:r>
      <w:r w:rsidR="0067074F" w:rsidRPr="00390260">
        <w:rPr>
          <w:b w:val="0"/>
        </w:rPr>
        <w:t xml:space="preserve"> a emenda nº 30, do Senador Blairo Maggi, e amplio seu alcance para que seja recomposto</w:t>
      </w:r>
      <w:r w:rsidR="004443E9">
        <w:rPr>
          <w:b w:val="0"/>
        </w:rPr>
        <w:t xml:space="preserve"> pelo </w:t>
      </w:r>
      <w:r w:rsidR="004443E9" w:rsidRPr="00390260">
        <w:rPr>
          <w:b w:val="0"/>
        </w:rPr>
        <w:t xml:space="preserve">período em que o empreendimento tenha ficado paralisado </w:t>
      </w:r>
      <w:r w:rsidR="004443E9">
        <w:rPr>
          <w:b w:val="0"/>
        </w:rPr>
        <w:t>e cujo fator</w:t>
      </w:r>
      <w:r w:rsidR="004443E9" w:rsidRPr="00390260">
        <w:rPr>
          <w:b w:val="0"/>
        </w:rPr>
        <w:t xml:space="preserve"> motivador </w:t>
      </w:r>
      <w:r w:rsidR="004443E9">
        <w:rPr>
          <w:b w:val="0"/>
        </w:rPr>
        <w:t xml:space="preserve">esteja </w:t>
      </w:r>
      <w:r w:rsidR="004443E9" w:rsidRPr="00390260">
        <w:rPr>
          <w:b w:val="0"/>
        </w:rPr>
        <w:t>fora da alçada do empreendedor</w:t>
      </w:r>
      <w:r w:rsidR="004443E9">
        <w:rPr>
          <w:b w:val="0"/>
        </w:rPr>
        <w:t>.</w:t>
      </w:r>
    </w:p>
    <w:p w:rsidR="001C1775" w:rsidRDefault="001C1775" w:rsidP="00F1514C">
      <w:pPr>
        <w:pStyle w:val="05-Subttulo-CLG"/>
        <w:ind w:firstLine="1418"/>
        <w:rPr>
          <w:b w:val="0"/>
        </w:rPr>
      </w:pPr>
      <w:r>
        <w:rPr>
          <w:b w:val="0"/>
        </w:rPr>
        <w:t>Acato também</w:t>
      </w:r>
      <w:r w:rsidR="001E1A6C">
        <w:rPr>
          <w:b w:val="0"/>
        </w:rPr>
        <w:t>, parcialmente,</w:t>
      </w:r>
      <w:r>
        <w:rPr>
          <w:b w:val="0"/>
        </w:rPr>
        <w:t xml:space="preserve"> a emenda nº 65, do Senador Hélio José, pois entendo ser importante incentivar o uso eficiente de energia e a implantação de sistemas de geração a partir de fontes renováveis, mas, nesse caso, restrito a escolas e hospitais públicos. </w:t>
      </w:r>
    </w:p>
    <w:p w:rsidR="007C13FF" w:rsidRDefault="007C13FF" w:rsidP="00F1514C">
      <w:pPr>
        <w:pStyle w:val="05-Subttulo-CLG"/>
        <w:ind w:firstLine="1418"/>
        <w:rPr>
          <w:b w:val="0"/>
        </w:rPr>
      </w:pPr>
      <w:r>
        <w:rPr>
          <w:b w:val="0"/>
        </w:rPr>
        <w:t xml:space="preserve">Sobre a cobrança das bandeiras tarifárias, acredito ser razoável não imputar sua cobrança </w:t>
      </w:r>
      <w:r w:rsidR="00A22309">
        <w:rPr>
          <w:b w:val="0"/>
        </w:rPr>
        <w:t xml:space="preserve">plena </w:t>
      </w:r>
      <w:r>
        <w:rPr>
          <w:b w:val="0"/>
        </w:rPr>
        <w:t>aos irrigantes</w:t>
      </w:r>
      <w:r w:rsidR="00A22309">
        <w:rPr>
          <w:b w:val="0"/>
        </w:rPr>
        <w:t xml:space="preserve"> naquele período a que fazem jus ao desconto</w:t>
      </w:r>
      <w:r>
        <w:rPr>
          <w:b w:val="0"/>
        </w:rPr>
        <w:t>, razão pela qual acato a emenda nº 14, do Deputado Manoel Júnior.</w:t>
      </w:r>
    </w:p>
    <w:p w:rsidR="00036F00" w:rsidRDefault="0067074F" w:rsidP="00F1514C">
      <w:pPr>
        <w:pStyle w:val="05-Subttulo-CLG"/>
        <w:ind w:firstLine="1418"/>
        <w:rPr>
          <w:b w:val="0"/>
        </w:rPr>
      </w:pPr>
      <w:r>
        <w:rPr>
          <w:b w:val="0"/>
        </w:rPr>
        <w:t>Outras inclusões no arcabouço legal que acatei</w:t>
      </w:r>
      <w:r w:rsidR="00036F00">
        <w:rPr>
          <w:b w:val="0"/>
        </w:rPr>
        <w:t xml:space="preserve"> foram solicitadas ou anuídas pelo Poder Executivo, por intermédio do Ministério de Minas e Energia, conforme documento acostado.</w:t>
      </w:r>
      <w:r w:rsidR="00383ED6">
        <w:rPr>
          <w:b w:val="0"/>
        </w:rPr>
        <w:t xml:space="preserve"> </w:t>
      </w:r>
      <w:r w:rsidR="00E4573B">
        <w:rPr>
          <w:b w:val="0"/>
        </w:rPr>
        <w:t>A seguir, passo a explicá-las</w:t>
      </w:r>
      <w:r>
        <w:rPr>
          <w:b w:val="0"/>
        </w:rPr>
        <w:t>:</w:t>
      </w:r>
    </w:p>
    <w:p w:rsidR="00A66317" w:rsidRDefault="00A66317" w:rsidP="00F1514C">
      <w:pPr>
        <w:pStyle w:val="05-Subttulo-CLG"/>
        <w:ind w:firstLine="1418"/>
        <w:rPr>
          <w:b w:val="0"/>
        </w:rPr>
      </w:pPr>
      <w:r>
        <w:rPr>
          <w:b w:val="0"/>
        </w:rPr>
        <w:t xml:space="preserve">A geração distribuída é importante instrumento para a redução de investimentos em grandes unidades de geração, que costumam trazer </w:t>
      </w:r>
      <w:r w:rsidR="00AB734F">
        <w:rPr>
          <w:b w:val="0"/>
        </w:rPr>
        <w:t xml:space="preserve">significativos </w:t>
      </w:r>
      <w:r>
        <w:rPr>
          <w:b w:val="0"/>
        </w:rPr>
        <w:t>impactos ambientais</w:t>
      </w:r>
      <w:r w:rsidR="00AB734F">
        <w:rPr>
          <w:b w:val="0"/>
        </w:rPr>
        <w:t xml:space="preserve">. Ademais, é importante indutor da eficiência energética, por reduzir perdas de energia com transmissão e distribuição de energia, além de reduzir investimentos em transporte de energia. A geração distribuída está prevista na Lei nº 10.848, de 2004, mas, apesar dos seus grandes benefícios, não tem havido contratação dessa importante fonte de geração por parte das distribuidoras. </w:t>
      </w:r>
      <w:r>
        <w:rPr>
          <w:b w:val="0"/>
        </w:rPr>
        <w:t xml:space="preserve">Um dos aspectos que mais vem inibindo a expansão de geração distribuída no País é a forma como </w:t>
      </w:r>
      <w:r w:rsidR="00AB734F">
        <w:rPr>
          <w:b w:val="0"/>
        </w:rPr>
        <w:t xml:space="preserve">é feito </w:t>
      </w:r>
      <w:r>
        <w:rPr>
          <w:b w:val="0"/>
        </w:rPr>
        <w:t>o repasse dos custos de aquisição da energia</w:t>
      </w:r>
      <w:r w:rsidR="00AB734F">
        <w:rPr>
          <w:b w:val="0"/>
        </w:rPr>
        <w:t>, limitado a um valor de referência. Esse valor de referência é baseado no preço médio dos leilões A-5 e A-3. Ora, a contratação de energia eólica e de usinas estruturantes na Amazônia, ambas as fontes a preços muito competitivos, derrubou o preço médio a valores que inviabilizam a geração distribuída. Por essa razão, proponho acrescentar art. 2º-B à Lei nº 10.848, de 20</w:t>
      </w:r>
      <w:r w:rsidR="00654C95">
        <w:rPr>
          <w:b w:val="0"/>
        </w:rPr>
        <w:t>0</w:t>
      </w:r>
      <w:r w:rsidR="00AB734F">
        <w:rPr>
          <w:b w:val="0"/>
        </w:rPr>
        <w:t xml:space="preserve">4, para que se crie um valor anual de referência específico (VRES), a ser calculado pelo Poder Executivo, para que </w:t>
      </w:r>
      <w:r w:rsidR="00654C95">
        <w:rPr>
          <w:b w:val="0"/>
        </w:rPr>
        <w:t>se considerem</w:t>
      </w:r>
      <w:r w:rsidR="00AB734F">
        <w:rPr>
          <w:b w:val="0"/>
        </w:rPr>
        <w:t xml:space="preserve"> apenas as especificidades de cada fonte, obtendo um valor realista que viabilize a geração distribuída. </w:t>
      </w:r>
    </w:p>
    <w:p w:rsidR="00A66317" w:rsidRDefault="00447855" w:rsidP="00F1514C">
      <w:pPr>
        <w:pStyle w:val="05-Subttulo-CLG"/>
        <w:ind w:firstLine="1418"/>
        <w:rPr>
          <w:b w:val="0"/>
        </w:rPr>
      </w:pPr>
      <w:r>
        <w:rPr>
          <w:b w:val="0"/>
        </w:rPr>
        <w:t xml:space="preserve">A participação de consumidores livres </w:t>
      </w:r>
      <w:r w:rsidR="003C0110">
        <w:rPr>
          <w:b w:val="0"/>
        </w:rPr>
        <w:t>de grande porte nos leilões de compra e venda de energia do Ambiente de Contratação R</w:t>
      </w:r>
      <w:r>
        <w:rPr>
          <w:b w:val="0"/>
        </w:rPr>
        <w:t>egulada</w:t>
      </w:r>
      <w:r w:rsidR="003C0110">
        <w:rPr>
          <w:b w:val="0"/>
        </w:rPr>
        <w:t xml:space="preserve"> (ACR) não é atualmente permitida pela legislação setorial, cabendo aos consumidores livres e e</w:t>
      </w:r>
      <w:r w:rsidR="00654C95">
        <w:rPr>
          <w:b w:val="0"/>
        </w:rPr>
        <w:t>speciais a participação apenas em</w:t>
      </w:r>
      <w:r w:rsidR="003C0110">
        <w:rPr>
          <w:b w:val="0"/>
        </w:rPr>
        <w:t xml:space="preserve"> leilões no Ambiente de Contratação Livre (ACL). Esse modelo mostrou</w:t>
      </w:r>
      <w:r w:rsidR="00654C95">
        <w:rPr>
          <w:b w:val="0"/>
        </w:rPr>
        <w:t>-se</w:t>
      </w:r>
      <w:r w:rsidR="003C0110">
        <w:rPr>
          <w:b w:val="0"/>
        </w:rPr>
        <w:t xml:space="preserve"> bem sucedido no que diz respeito à sinalização da expansão da oferta de energia para o ACR. Entretanto, tal s</w:t>
      </w:r>
      <w:r w:rsidR="00A66317">
        <w:rPr>
          <w:b w:val="0"/>
        </w:rPr>
        <w:t>inalização tem sido mal sucedida</w:t>
      </w:r>
      <w:r w:rsidR="003C0110">
        <w:rPr>
          <w:b w:val="0"/>
        </w:rPr>
        <w:t xml:space="preserve"> no que tange ao ACL, levando </w:t>
      </w:r>
      <w:r w:rsidR="00654C95">
        <w:rPr>
          <w:b w:val="0"/>
        </w:rPr>
        <w:t>à insuficiência no atendimento à</w:t>
      </w:r>
      <w:r w:rsidR="003C0110">
        <w:rPr>
          <w:b w:val="0"/>
        </w:rPr>
        <w:t>s dem</w:t>
      </w:r>
      <w:r w:rsidR="00A66317">
        <w:rPr>
          <w:b w:val="0"/>
        </w:rPr>
        <w:t xml:space="preserve">andas dos consumidores livres. </w:t>
      </w:r>
      <w:r w:rsidR="00E4573B">
        <w:rPr>
          <w:b w:val="0"/>
        </w:rPr>
        <w:t>Trata-se de</w:t>
      </w:r>
      <w:r w:rsidR="00A66317">
        <w:rPr>
          <w:b w:val="0"/>
        </w:rPr>
        <w:t xml:space="preserve"> situação</w:t>
      </w:r>
      <w:r w:rsidR="003C0110">
        <w:rPr>
          <w:b w:val="0"/>
        </w:rPr>
        <w:t xml:space="preserve"> ruim para o País, pois as grandes indústrias não </w:t>
      </w:r>
      <w:r w:rsidR="00A66317">
        <w:rPr>
          <w:b w:val="0"/>
        </w:rPr>
        <w:t>vêm tendo</w:t>
      </w:r>
      <w:r w:rsidR="003C0110">
        <w:rPr>
          <w:b w:val="0"/>
        </w:rPr>
        <w:t xml:space="preserve"> acesso à energia elétrica a preços competitivos. </w:t>
      </w:r>
      <w:r w:rsidR="00A66317">
        <w:rPr>
          <w:b w:val="0"/>
        </w:rPr>
        <w:t>Com o intuito de</w:t>
      </w:r>
      <w:r w:rsidR="003C0110">
        <w:rPr>
          <w:b w:val="0"/>
        </w:rPr>
        <w:t xml:space="preserve"> mitigar esse problema, proponho </w:t>
      </w:r>
      <w:r w:rsidR="00A66317">
        <w:rPr>
          <w:b w:val="0"/>
        </w:rPr>
        <w:t xml:space="preserve">incluir art. 2º-C à Lei nº 10.848, de 2004, para </w:t>
      </w:r>
      <w:r w:rsidR="003C0110">
        <w:rPr>
          <w:b w:val="0"/>
        </w:rPr>
        <w:t xml:space="preserve">que consumidores com </w:t>
      </w:r>
      <w:r w:rsidR="00A66317">
        <w:rPr>
          <w:b w:val="0"/>
        </w:rPr>
        <w:t xml:space="preserve">carga de, no mínimo, 20 MW, possam participar de leilões no ACR. </w:t>
      </w:r>
    </w:p>
    <w:p w:rsidR="001C1775" w:rsidRPr="00AC4CC9" w:rsidRDefault="006041CF" w:rsidP="001C1775">
      <w:pPr>
        <w:pStyle w:val="05-Subttulo-CLG"/>
        <w:ind w:firstLine="1418"/>
        <w:rPr>
          <w:b w:val="0"/>
        </w:rPr>
      </w:pPr>
      <w:r w:rsidRPr="00AC4CC9">
        <w:rPr>
          <w:b w:val="0"/>
        </w:rPr>
        <w:t>Outra sugestão do M</w:t>
      </w:r>
      <w:r w:rsidR="007332ED" w:rsidRPr="00AC4CC9">
        <w:rPr>
          <w:b w:val="0"/>
        </w:rPr>
        <w:t>ME que acato</w:t>
      </w:r>
      <w:r w:rsidRPr="00AC4CC9">
        <w:rPr>
          <w:b w:val="0"/>
        </w:rPr>
        <w:t xml:space="preserve"> diz respeito à </w:t>
      </w:r>
      <w:proofErr w:type="gramStart"/>
      <w:r w:rsidRPr="00AC4CC9">
        <w:rPr>
          <w:b w:val="0"/>
        </w:rPr>
        <w:t>flexibilização</w:t>
      </w:r>
      <w:proofErr w:type="gramEnd"/>
      <w:r w:rsidRPr="00AC4CC9">
        <w:rPr>
          <w:b w:val="0"/>
        </w:rPr>
        <w:t xml:space="preserve"> da </w:t>
      </w:r>
      <w:r w:rsidR="009D361F" w:rsidRPr="00AC4CC9">
        <w:rPr>
          <w:b w:val="0"/>
        </w:rPr>
        <w:t xml:space="preserve">Lei nº 9.991, de 2000, que dispõe sobre a </w:t>
      </w:r>
      <w:r w:rsidRPr="00AC4CC9">
        <w:rPr>
          <w:b w:val="0"/>
        </w:rPr>
        <w:t xml:space="preserve">aplicação obrigatória de </w:t>
      </w:r>
      <w:r w:rsidR="009D361F" w:rsidRPr="00AC4CC9">
        <w:rPr>
          <w:b w:val="0"/>
        </w:rPr>
        <w:t>percentual da receita operacional líquida de agentes do setor elétrico em pesquisa e desenvolvimento</w:t>
      </w:r>
      <w:r w:rsidR="007332ED" w:rsidRPr="00AC4CC9">
        <w:rPr>
          <w:b w:val="0"/>
        </w:rPr>
        <w:t xml:space="preserve"> (P&amp;D)</w:t>
      </w:r>
      <w:r w:rsidR="009D361F" w:rsidRPr="00AC4CC9">
        <w:rPr>
          <w:b w:val="0"/>
        </w:rPr>
        <w:t xml:space="preserve"> e eficiência energética. </w:t>
      </w:r>
      <w:r w:rsidR="009D3D11" w:rsidRPr="00AC4CC9">
        <w:rPr>
          <w:b w:val="0"/>
        </w:rPr>
        <w:t xml:space="preserve">Na nova redação proposta ao art. 4º dessa Lei, com a inclusão dos §§ 3º e 4º, as empresas vinculadas ao MME e associadas ao Centro de Pesquisa de Energia Elétrica (CEPEL) poderão aplicar até 40% dos recursos de P&amp;D no atendimento </w:t>
      </w:r>
      <w:r w:rsidR="007332ED" w:rsidRPr="00AC4CC9">
        <w:rPr>
          <w:b w:val="0"/>
        </w:rPr>
        <w:t>de suas obrigações estatutárias. As empresas têm como contrapartida do CEPEL o desenvolvimento de programas e projetos de pesquisa e inovação tecnológica do setor d</w:t>
      </w:r>
      <w:r w:rsidR="002A2118" w:rsidRPr="00AC4CC9">
        <w:rPr>
          <w:b w:val="0"/>
        </w:rPr>
        <w:t>e energia elétrica. Destaco que</w:t>
      </w:r>
      <w:r w:rsidR="007332ED" w:rsidRPr="00AC4CC9">
        <w:rPr>
          <w:b w:val="0"/>
        </w:rPr>
        <w:t xml:space="preserve"> essa </w:t>
      </w:r>
      <w:proofErr w:type="gramStart"/>
      <w:r w:rsidR="007332ED" w:rsidRPr="00AC4CC9">
        <w:rPr>
          <w:b w:val="0"/>
        </w:rPr>
        <w:t>flexibilização</w:t>
      </w:r>
      <w:proofErr w:type="gramEnd"/>
      <w:r w:rsidR="007332ED" w:rsidRPr="00AC4CC9">
        <w:rPr>
          <w:b w:val="0"/>
        </w:rPr>
        <w:t xml:space="preserve"> vem acompanhada de compromisso de priorização da obtenção de resultados de aplicação prática, com foco na criação e aperfeiçoamento de produtos, processos, metodologias e técnicas. </w:t>
      </w:r>
    </w:p>
    <w:p w:rsidR="007C61BD" w:rsidRPr="00AC4CC9" w:rsidRDefault="007C61BD" w:rsidP="00F1514C">
      <w:pPr>
        <w:pStyle w:val="05-Subttulo-CLG"/>
        <w:ind w:firstLine="1418"/>
        <w:rPr>
          <w:b w:val="0"/>
        </w:rPr>
      </w:pPr>
      <w:r w:rsidRPr="00AC4CC9">
        <w:rPr>
          <w:b w:val="0"/>
        </w:rPr>
        <w:t xml:space="preserve">Ainda em relação à Lei nº 9.991, de 2000, </w:t>
      </w:r>
      <w:r w:rsidR="0061181A" w:rsidRPr="00AC4CC9">
        <w:rPr>
          <w:b w:val="0"/>
        </w:rPr>
        <w:t>acato</w:t>
      </w:r>
      <w:r w:rsidR="001C1775">
        <w:rPr>
          <w:b w:val="0"/>
        </w:rPr>
        <w:t xml:space="preserve"> parcialmente as</w:t>
      </w:r>
      <w:r w:rsidR="0061181A" w:rsidRPr="00AC4CC9">
        <w:rPr>
          <w:b w:val="0"/>
        </w:rPr>
        <w:t xml:space="preserve"> </w:t>
      </w:r>
      <w:r w:rsidR="000D2396">
        <w:rPr>
          <w:b w:val="0"/>
        </w:rPr>
        <w:t>e</w:t>
      </w:r>
      <w:r w:rsidR="0061181A" w:rsidRPr="00AC4CC9">
        <w:rPr>
          <w:b w:val="0"/>
        </w:rPr>
        <w:t>menda</w:t>
      </w:r>
      <w:r w:rsidR="001C1775">
        <w:rPr>
          <w:b w:val="0"/>
        </w:rPr>
        <w:t>s</w:t>
      </w:r>
      <w:r w:rsidR="0061181A" w:rsidRPr="00AC4CC9">
        <w:rPr>
          <w:b w:val="0"/>
        </w:rPr>
        <w:t xml:space="preserve"> nº 7, do Deputado Carlos Zarattini, e nº 52, do Deputado José Carlos Aleluia,</w:t>
      </w:r>
      <w:r w:rsidR="00707D88" w:rsidRPr="00AC4CC9">
        <w:rPr>
          <w:b w:val="0"/>
        </w:rPr>
        <w:t xml:space="preserve"> </w:t>
      </w:r>
      <w:r w:rsidR="008E3C46" w:rsidRPr="00AC4CC9">
        <w:rPr>
          <w:b w:val="0"/>
        </w:rPr>
        <w:t>com o intuito de</w:t>
      </w:r>
      <w:r w:rsidRPr="00AC4CC9">
        <w:rPr>
          <w:b w:val="0"/>
        </w:rPr>
        <w:t xml:space="preserve"> postergar</w:t>
      </w:r>
      <w:r w:rsidR="0061181A" w:rsidRPr="00AC4CC9">
        <w:rPr>
          <w:b w:val="0"/>
        </w:rPr>
        <w:t xml:space="preserve"> a</w:t>
      </w:r>
      <w:r w:rsidRPr="00AC4CC9">
        <w:rPr>
          <w:b w:val="0"/>
        </w:rPr>
        <w:t xml:space="preserve"> redução dos percentuais de investimento em eficiência energética</w:t>
      </w:r>
      <w:r w:rsidR="0061181A" w:rsidRPr="00AC4CC9">
        <w:rPr>
          <w:b w:val="0"/>
        </w:rPr>
        <w:t xml:space="preserve">. A previsão atual é que, a partir de 2016, investimentos em eficiência energética caiam de 0,5% para 0,25% da Receita Operacional Líquida. Proponho que essa redução só ocorra a partir de 2023, para permitir maior investimento nessa importante atividade de gestão pelo lado da demanda e que contribui para reduzir a necessidade de novos investimentos em geração. </w:t>
      </w:r>
      <w:proofErr w:type="gramStart"/>
      <w:r w:rsidR="008E3C46" w:rsidRPr="00AC4CC9">
        <w:rPr>
          <w:b w:val="0"/>
        </w:rPr>
        <w:t>Outrossim</w:t>
      </w:r>
      <w:proofErr w:type="gramEnd"/>
      <w:r w:rsidR="008E3C46" w:rsidRPr="00AC4CC9">
        <w:rPr>
          <w:b w:val="0"/>
        </w:rPr>
        <w:t>, proponho que os investimentos em eficiência energética priorizem iniciativas e produtos da indústria nacional.</w:t>
      </w:r>
    </w:p>
    <w:p w:rsidR="0079073E" w:rsidRDefault="009E5A0A" w:rsidP="00F1514C">
      <w:pPr>
        <w:pStyle w:val="05-Subttulo-CLG"/>
        <w:ind w:firstLine="1418"/>
        <w:rPr>
          <w:b w:val="0"/>
        </w:rPr>
      </w:pPr>
      <w:r>
        <w:rPr>
          <w:b w:val="0"/>
        </w:rPr>
        <w:t>Adoto ainda outro importante aprimoramento da legislação, especificamente no ar</w:t>
      </w:r>
      <w:r w:rsidR="00CD734D">
        <w:rPr>
          <w:b w:val="0"/>
        </w:rPr>
        <w:t xml:space="preserve">t. 26 da Lei nº 9.427, de 1996, com </w:t>
      </w:r>
      <w:r w:rsidR="00E1727D">
        <w:rPr>
          <w:b w:val="0"/>
        </w:rPr>
        <w:t xml:space="preserve">a </w:t>
      </w:r>
      <w:r w:rsidR="00205ED9">
        <w:rPr>
          <w:b w:val="0"/>
        </w:rPr>
        <w:t xml:space="preserve">alteração do § 1º e </w:t>
      </w:r>
      <w:r w:rsidR="00CD734D">
        <w:rPr>
          <w:b w:val="0"/>
        </w:rPr>
        <w:t>inclus</w:t>
      </w:r>
      <w:r w:rsidR="00707D88">
        <w:rPr>
          <w:b w:val="0"/>
        </w:rPr>
        <w:t>ão dos §§ 1º-</w:t>
      </w:r>
      <w:r w:rsidR="00C23425">
        <w:rPr>
          <w:b w:val="0"/>
        </w:rPr>
        <w:t>A</w:t>
      </w:r>
      <w:r w:rsidR="00707D88">
        <w:rPr>
          <w:b w:val="0"/>
        </w:rPr>
        <w:t xml:space="preserve"> e </w:t>
      </w:r>
      <w:r w:rsidR="00DA65EE">
        <w:rPr>
          <w:b w:val="0"/>
        </w:rPr>
        <w:t>10</w:t>
      </w:r>
      <w:r w:rsidR="00707D88">
        <w:rPr>
          <w:b w:val="0"/>
        </w:rPr>
        <w:t xml:space="preserve">, </w:t>
      </w:r>
      <w:r w:rsidR="00DD18AF">
        <w:rPr>
          <w:b w:val="0"/>
        </w:rPr>
        <w:t>e que também atende</w:t>
      </w:r>
      <w:r w:rsidR="00707D88">
        <w:rPr>
          <w:b w:val="0"/>
        </w:rPr>
        <w:t>, total ou parcialmente,</w:t>
      </w:r>
      <w:r w:rsidR="00DD18AF">
        <w:rPr>
          <w:b w:val="0"/>
        </w:rPr>
        <w:t xml:space="preserve"> a</w:t>
      </w:r>
      <w:r w:rsidR="00707D88">
        <w:rPr>
          <w:b w:val="0"/>
        </w:rPr>
        <w:t>s</w:t>
      </w:r>
      <w:r w:rsidR="00DD18AF">
        <w:rPr>
          <w:b w:val="0"/>
        </w:rPr>
        <w:t xml:space="preserve"> </w:t>
      </w:r>
      <w:r w:rsidR="000D2396">
        <w:rPr>
          <w:b w:val="0"/>
        </w:rPr>
        <w:t>e</w:t>
      </w:r>
      <w:r w:rsidR="00DD18AF">
        <w:rPr>
          <w:b w:val="0"/>
        </w:rPr>
        <w:t>menda</w:t>
      </w:r>
      <w:r w:rsidR="00707D88">
        <w:rPr>
          <w:b w:val="0"/>
        </w:rPr>
        <w:t>s</w:t>
      </w:r>
      <w:r w:rsidR="00205ED9">
        <w:rPr>
          <w:b w:val="0"/>
        </w:rPr>
        <w:t xml:space="preserve"> nº </w:t>
      </w:r>
      <w:r w:rsidR="00DD18AF">
        <w:rPr>
          <w:b w:val="0"/>
        </w:rPr>
        <w:t>1, da Deputada Tereza Cristina</w:t>
      </w:r>
      <w:r w:rsidR="00592105">
        <w:rPr>
          <w:b w:val="0"/>
        </w:rPr>
        <w:t xml:space="preserve">, </w:t>
      </w:r>
      <w:r w:rsidR="00707D88">
        <w:rPr>
          <w:b w:val="0"/>
        </w:rPr>
        <w:t>nº 6, do Deputado Carlos Zarattini e nº 38 do Deputado Fábio Garcia</w:t>
      </w:r>
      <w:r w:rsidR="00DD18AF">
        <w:rPr>
          <w:b w:val="0"/>
        </w:rPr>
        <w:t xml:space="preserve">. </w:t>
      </w:r>
      <w:r w:rsidR="00707D88">
        <w:rPr>
          <w:b w:val="0"/>
        </w:rPr>
        <w:t xml:space="preserve">O § </w:t>
      </w:r>
      <w:r w:rsidR="00DA65EE">
        <w:rPr>
          <w:b w:val="0"/>
        </w:rPr>
        <w:t xml:space="preserve">10 </w:t>
      </w:r>
      <w:r w:rsidR="00707D88">
        <w:rPr>
          <w:b w:val="0"/>
        </w:rPr>
        <w:t xml:space="preserve">explicita </w:t>
      </w:r>
      <w:r w:rsidR="0079073E">
        <w:rPr>
          <w:b w:val="0"/>
        </w:rPr>
        <w:t>prazos de autorização e a possibilidade de prorrogação de autorizações alcançadas pelo art. 26. Com isso, pretendemos dar mais segurança jurídica nas relações contratuais entre investidores e Poder Concedente.</w:t>
      </w:r>
    </w:p>
    <w:p w:rsidR="009E5A0A" w:rsidRDefault="00D96EBB" w:rsidP="00F1514C">
      <w:pPr>
        <w:pStyle w:val="05-Subttulo-CLG"/>
        <w:ind w:firstLine="1418"/>
        <w:rPr>
          <w:b w:val="0"/>
        </w:rPr>
      </w:pPr>
      <w:r>
        <w:rPr>
          <w:b w:val="0"/>
        </w:rPr>
        <w:t xml:space="preserve">Atualmente, </w:t>
      </w:r>
      <w:r w:rsidR="0079073E">
        <w:rPr>
          <w:b w:val="0"/>
        </w:rPr>
        <w:t xml:space="preserve">o art. 26 </w:t>
      </w:r>
      <w:r>
        <w:rPr>
          <w:b w:val="0"/>
        </w:rPr>
        <w:t xml:space="preserve">só </w:t>
      </w:r>
      <w:r w:rsidR="0079073E">
        <w:rPr>
          <w:b w:val="0"/>
        </w:rPr>
        <w:t>autoriza o</w:t>
      </w:r>
      <w:r>
        <w:rPr>
          <w:b w:val="0"/>
        </w:rPr>
        <w:t xml:space="preserve"> desconto na TUST e na TUSD</w:t>
      </w:r>
      <w:r w:rsidR="0079073E">
        <w:rPr>
          <w:b w:val="0"/>
        </w:rPr>
        <w:t xml:space="preserve"> para</w:t>
      </w:r>
      <w:r>
        <w:rPr>
          <w:b w:val="0"/>
        </w:rPr>
        <w:t xml:space="preserve"> as fontes alternativas que injetarem até 30.000 kW</w:t>
      </w:r>
      <w:r w:rsidR="00A96BFF">
        <w:rPr>
          <w:b w:val="0"/>
        </w:rPr>
        <w:t xml:space="preserve"> de potência nos sistemas de transmissão ou distribuição. A característica modular das fontes eólica e solar permitem que um grande parque de geração possa ser dividido em várias unidades </w:t>
      </w:r>
      <w:r w:rsidR="002A2118">
        <w:rPr>
          <w:b w:val="0"/>
        </w:rPr>
        <w:t>de</w:t>
      </w:r>
      <w:r w:rsidR="00A96BFF">
        <w:rPr>
          <w:b w:val="0"/>
        </w:rPr>
        <w:t xml:space="preserve"> 30.000 kW </w:t>
      </w:r>
      <w:r w:rsidR="002A2118">
        <w:rPr>
          <w:b w:val="0"/>
        </w:rPr>
        <w:t xml:space="preserve">ou menores, </w:t>
      </w:r>
      <w:r w:rsidR="00A96BFF">
        <w:rPr>
          <w:b w:val="0"/>
        </w:rPr>
        <w:t>para se submeterem aos limites da lei e fazerem jus ao desconto. Mas, isso não ocorre em relação à biomassa. Vários empreendimentos movidos a biomassa de potência maior poderiam estar operando no sistema elétrico e aumentando</w:t>
      </w:r>
      <w:r w:rsidR="002A2118">
        <w:rPr>
          <w:b w:val="0"/>
        </w:rPr>
        <w:t xml:space="preserve"> a capacidade instalada do País</w:t>
      </w:r>
      <w:r w:rsidR="00A96BFF">
        <w:rPr>
          <w:b w:val="0"/>
        </w:rPr>
        <w:t xml:space="preserve"> se esse limite fosse flexibilizado. Por essa razão, proponho aumentar o limite para 300.000 kW</w:t>
      </w:r>
      <w:r w:rsidR="00341779">
        <w:rPr>
          <w:b w:val="0"/>
        </w:rPr>
        <w:t xml:space="preserve"> mediante a inclusão do citado § 1º-</w:t>
      </w:r>
      <w:r w:rsidR="00E4573B">
        <w:rPr>
          <w:b w:val="0"/>
        </w:rPr>
        <w:t>A</w:t>
      </w:r>
      <w:r w:rsidR="00A96BFF">
        <w:rPr>
          <w:b w:val="0"/>
        </w:rPr>
        <w:t xml:space="preserve">, de modo a estimular a expansão dessa importante fonte energética, que tem importante papel complementar às usinas hidroelétricas. Trata-se, acima de tudo, de medida de justeza e isonomia com relação às demais fontes. Esse direito será estendido a empreendimentos </w:t>
      </w:r>
      <w:r w:rsidR="002A2118">
        <w:rPr>
          <w:b w:val="0"/>
        </w:rPr>
        <w:t xml:space="preserve">que </w:t>
      </w:r>
      <w:r w:rsidR="00A96BFF">
        <w:rPr>
          <w:b w:val="0"/>
        </w:rPr>
        <w:t>particip</w:t>
      </w:r>
      <w:r w:rsidR="002A2118">
        <w:rPr>
          <w:b w:val="0"/>
        </w:rPr>
        <w:t>ar</w:t>
      </w:r>
      <w:r w:rsidR="00A96BFF">
        <w:rPr>
          <w:b w:val="0"/>
        </w:rPr>
        <w:t>em de leil</w:t>
      </w:r>
      <w:r w:rsidR="002A2118">
        <w:rPr>
          <w:b w:val="0"/>
        </w:rPr>
        <w:t>ão de compra e venda de energia</w:t>
      </w:r>
      <w:r w:rsidR="00A96BFF">
        <w:rPr>
          <w:b w:val="0"/>
        </w:rPr>
        <w:t xml:space="preserve"> a partir de 2016 e para os que venham a ser autorizados pela Aneel também a partir de 2016</w:t>
      </w:r>
      <w:r w:rsidR="00DA65EE">
        <w:rPr>
          <w:b w:val="0"/>
        </w:rPr>
        <w:t xml:space="preserve">, inclusive </w:t>
      </w:r>
      <w:r w:rsidR="00921C1C">
        <w:rPr>
          <w:b w:val="0"/>
        </w:rPr>
        <w:t>àqueles destinados à</w:t>
      </w:r>
      <w:r w:rsidR="00DA65EE">
        <w:rPr>
          <w:b w:val="0"/>
        </w:rPr>
        <w:t xml:space="preserve"> autoprodução</w:t>
      </w:r>
      <w:r w:rsidR="00A96BFF">
        <w:rPr>
          <w:b w:val="0"/>
        </w:rPr>
        <w:t>.</w:t>
      </w:r>
    </w:p>
    <w:p w:rsidR="00A96BFF" w:rsidRDefault="00A96BFF" w:rsidP="00F1514C">
      <w:pPr>
        <w:pStyle w:val="05-Subttulo-CLG"/>
        <w:ind w:firstLine="1418"/>
        <w:rPr>
          <w:b w:val="0"/>
        </w:rPr>
      </w:pPr>
      <w:r>
        <w:rPr>
          <w:b w:val="0"/>
        </w:rPr>
        <w:t>Outra medida de justeza e isonomia refere-se ao direito que o autoprodutor já teve no passado do mesmo desconto na TUST e na TUSD</w:t>
      </w:r>
      <w:r w:rsidR="00341779">
        <w:rPr>
          <w:b w:val="0"/>
        </w:rPr>
        <w:t xml:space="preserve"> a que fazem jus os produtores independentes de energia</w:t>
      </w:r>
      <w:r w:rsidR="00376F46">
        <w:rPr>
          <w:b w:val="0"/>
        </w:rPr>
        <w:t xml:space="preserve"> e seus consumidores</w:t>
      </w:r>
      <w:r>
        <w:rPr>
          <w:b w:val="0"/>
        </w:rPr>
        <w:t>. As sucessivas alterações de redação do § 1º do art. 26 da Lei nº 9.427, de 1996, terminaram por subtrair esse direito do</w:t>
      </w:r>
      <w:r w:rsidR="00341779">
        <w:rPr>
          <w:b w:val="0"/>
        </w:rPr>
        <w:t xml:space="preserve">s autoprodutores. Proponho </w:t>
      </w:r>
      <w:r w:rsidR="00205ED9">
        <w:rPr>
          <w:b w:val="0"/>
        </w:rPr>
        <w:t>alteração</w:t>
      </w:r>
      <w:r w:rsidR="00341779">
        <w:rPr>
          <w:b w:val="0"/>
        </w:rPr>
        <w:t xml:space="preserve"> do § 1º para restaurar esse direito aos empreendimentos destinados à autoprodução que injetarem até 30.000 kW de potência na rede </w:t>
      </w:r>
      <w:r w:rsidR="00205ED9">
        <w:rPr>
          <w:b w:val="0"/>
        </w:rPr>
        <w:t xml:space="preserve">e </w:t>
      </w:r>
      <w:r w:rsidR="00E1727D">
        <w:rPr>
          <w:b w:val="0"/>
        </w:rPr>
        <w:t>que entrarem em operação a partir de 2016</w:t>
      </w:r>
      <w:r w:rsidR="00341779">
        <w:rPr>
          <w:b w:val="0"/>
        </w:rPr>
        <w:t>.</w:t>
      </w:r>
    </w:p>
    <w:p w:rsidR="00376F46" w:rsidRDefault="00376F46" w:rsidP="00F1514C">
      <w:pPr>
        <w:pStyle w:val="05-Subttulo-CLG"/>
        <w:ind w:firstLine="1418"/>
        <w:rPr>
          <w:b w:val="0"/>
        </w:rPr>
      </w:pPr>
      <w:r>
        <w:rPr>
          <w:b w:val="0"/>
        </w:rPr>
        <w:t xml:space="preserve">O ambiente de negócios envolvendo a autoprodução também pode ser enormemente alavancado mediante alteração no art. 26 da Lei nº 11.488, de 2007. A redação atual trouxe importante aprimoramento ao arcabouço legal ao </w:t>
      </w:r>
      <w:r w:rsidR="00730CFF">
        <w:rPr>
          <w:b w:val="0"/>
        </w:rPr>
        <w:t>equiparar a autoprodutor todo consumidor que participe de sociedade de propósito específico criada para fins de geração de energia elétrica. Isso permitiu</w:t>
      </w:r>
      <w:r>
        <w:rPr>
          <w:b w:val="0"/>
        </w:rPr>
        <w:t xml:space="preserve"> o desenvolvimento de projetos de geração de energia própria mediante modelo de </w:t>
      </w:r>
      <w:r w:rsidRPr="00BF05BE">
        <w:rPr>
          <w:b w:val="0"/>
          <w:i/>
        </w:rPr>
        <w:t xml:space="preserve">Project </w:t>
      </w:r>
      <w:proofErr w:type="spellStart"/>
      <w:r w:rsidRPr="00BF05BE">
        <w:rPr>
          <w:b w:val="0"/>
          <w:i/>
        </w:rPr>
        <w:t>Finance</w:t>
      </w:r>
      <w:proofErr w:type="spellEnd"/>
      <w:r>
        <w:rPr>
          <w:b w:val="0"/>
        </w:rPr>
        <w:t>, estruturação financeira mais adequada à implantação de empreendimentos de infraestrutura.</w:t>
      </w:r>
      <w:r w:rsidR="00730CFF">
        <w:rPr>
          <w:b w:val="0"/>
        </w:rPr>
        <w:t xml:space="preserve"> Entretanto, o fato de a legislação não ter especificado</w:t>
      </w:r>
      <w:r>
        <w:rPr>
          <w:b w:val="0"/>
        </w:rPr>
        <w:t xml:space="preserve"> </w:t>
      </w:r>
      <w:r w:rsidR="00730CFF">
        <w:rPr>
          <w:b w:val="0"/>
        </w:rPr>
        <w:t>o tipo de participação que deveria ser considerada na análise dos limites para equiparação a</w:t>
      </w:r>
      <w:r w:rsidR="00FD5C14">
        <w:rPr>
          <w:b w:val="0"/>
        </w:rPr>
        <w:t>cabou criando um</w:t>
      </w:r>
      <w:r w:rsidR="00730CFF">
        <w:rPr>
          <w:b w:val="0"/>
        </w:rPr>
        <w:t xml:space="preserve"> efeito colateral na estrutura do negócio, impedindo o desenvolvimento de modelos financeiros já consagrados, em particular o uso do mercado de ações</w:t>
      </w:r>
      <w:r w:rsidR="00205ED9">
        <w:rPr>
          <w:b w:val="0"/>
        </w:rPr>
        <w:t xml:space="preserve"> para captação de recursos. Essa lacuna faz com que a diluição da</w:t>
      </w:r>
      <w:r w:rsidR="00730CFF">
        <w:rPr>
          <w:b w:val="0"/>
        </w:rPr>
        <w:t xml:space="preserve"> participação do autoprodutor no c</w:t>
      </w:r>
      <w:r w:rsidR="00205ED9">
        <w:rPr>
          <w:b w:val="0"/>
        </w:rPr>
        <w:t>apital social da SPE reduza</w:t>
      </w:r>
      <w:r w:rsidR="00730CFF">
        <w:rPr>
          <w:b w:val="0"/>
        </w:rPr>
        <w:t xml:space="preserve"> consequentemente, sua parcela de geração própria, que não paga determinados encargos. Para corrigir esse efeito colateral, proponho alteração visando a permitir que a energia gerada em SPE e destinada à autoprodução seja alocada proporcionalmente </w:t>
      </w:r>
      <w:r w:rsidR="00026085">
        <w:rPr>
          <w:b w:val="0"/>
        </w:rPr>
        <w:t xml:space="preserve">apenas </w:t>
      </w:r>
      <w:r w:rsidR="00730CFF">
        <w:rPr>
          <w:b w:val="0"/>
        </w:rPr>
        <w:t>às ações da sociedad</w:t>
      </w:r>
      <w:r w:rsidR="00026085">
        <w:rPr>
          <w:b w:val="0"/>
        </w:rPr>
        <w:t>e com direito a voto, permitindo assim que o autoprodutor venha a captar recursos privados de longo prazo por meio de ações sem direito a voto. Esse mecanismo já é bastante difundido no mercado financeiro e busca incentivar o investimento de longo prazo no País.</w:t>
      </w:r>
    </w:p>
    <w:p w:rsidR="00E827CE" w:rsidRPr="00F1514C" w:rsidRDefault="00E827CE" w:rsidP="00F1514C">
      <w:pPr>
        <w:pStyle w:val="05-Subttulo-CLG"/>
        <w:ind w:firstLine="1418"/>
        <w:rPr>
          <w:b w:val="0"/>
        </w:rPr>
      </w:pPr>
      <w:r>
        <w:rPr>
          <w:b w:val="0"/>
        </w:rPr>
        <w:t>Rejeito as emendas restantes, por serem contrárias ao objeto da Medida Provisória.</w:t>
      </w:r>
    </w:p>
    <w:p w:rsidR="00081079" w:rsidRPr="00765CE4" w:rsidRDefault="00081079" w:rsidP="00081079">
      <w:pPr>
        <w:pStyle w:val="05-Subttulo-CLG"/>
      </w:pPr>
      <w:r w:rsidRPr="00765CE4">
        <w:t>III – VOTO</w:t>
      </w:r>
    </w:p>
    <w:p w:rsidR="00081079" w:rsidRPr="007A5A8F" w:rsidRDefault="00081079" w:rsidP="00081079">
      <w:pPr>
        <w:pStyle w:val="05-Pargrafodetexto-CLG"/>
      </w:pPr>
      <w:r w:rsidRPr="007A5A8F">
        <w:t xml:space="preserve">Em face do exposto, </w:t>
      </w:r>
      <w:r w:rsidR="00B257C0">
        <w:t>voto</w:t>
      </w:r>
      <w:r w:rsidRPr="007A5A8F">
        <w:t xml:space="preserve"> pela constitucionalidade e juridici</w:t>
      </w:r>
      <w:r w:rsidR="00B257C0">
        <w:t>dade da Medida Provisória nº 688, de 2015</w:t>
      </w:r>
      <w:r w:rsidRPr="007A5A8F">
        <w:t>, bem como pelo atendimento dos pressupostos de relevância, urgência</w:t>
      </w:r>
      <w:r w:rsidR="000A6779">
        <w:t xml:space="preserve"> e adequação orçamentária e financeira</w:t>
      </w:r>
      <w:r w:rsidR="00B257C0">
        <w:t>. No mérito, voto</w:t>
      </w:r>
      <w:r w:rsidRPr="007A5A8F">
        <w:t xml:space="preserve"> pela aprovação da Medida Provisória, com </w:t>
      </w:r>
      <w:r w:rsidR="00592105">
        <w:t>acatamento total ou parcial das emendas nº 1, 3, 6, 7</w:t>
      </w:r>
      <w:r w:rsidR="007C13FF">
        <w:t>, 14,</w:t>
      </w:r>
      <w:r w:rsidR="00592105">
        <w:t xml:space="preserve"> 23, 27, 29</w:t>
      </w:r>
      <w:r w:rsidR="00592105" w:rsidRPr="00390260">
        <w:t>,</w:t>
      </w:r>
      <w:r w:rsidR="00BF05BE" w:rsidRPr="00390260">
        <w:t xml:space="preserve"> 30,</w:t>
      </w:r>
      <w:r w:rsidR="00592105" w:rsidRPr="00390260">
        <w:t xml:space="preserve"> 32</w:t>
      </w:r>
      <w:r w:rsidR="00592105">
        <w:t>, 38, 44, 52, 61, 62, 63</w:t>
      </w:r>
      <w:r w:rsidR="001C1775">
        <w:t>,</w:t>
      </w:r>
      <w:r w:rsidR="00592105">
        <w:t xml:space="preserve"> 64 e</w:t>
      </w:r>
      <w:r w:rsidR="001C1775">
        <w:t xml:space="preserve"> 65 e</w:t>
      </w:r>
      <w:r w:rsidR="00592105">
        <w:t xml:space="preserve"> pela rejeição das demais emendas,</w:t>
      </w:r>
      <w:r w:rsidRPr="007A5A8F">
        <w:t xml:space="preserve"> na forma do seguinte projeto de lei de conversão.</w:t>
      </w:r>
    </w:p>
    <w:p w:rsidR="008C4BA7" w:rsidRDefault="008C4BA7" w:rsidP="008C4BA7">
      <w:pPr>
        <w:spacing w:after="120"/>
        <w:ind w:firstLine="1440"/>
        <w:jc w:val="both"/>
        <w:rPr>
          <w:b/>
          <w:sz w:val="32"/>
          <w:szCs w:val="28"/>
        </w:rPr>
      </w:pPr>
    </w:p>
    <w:p w:rsidR="002F378B" w:rsidRPr="003E6775" w:rsidRDefault="002F378B" w:rsidP="008C4BA7">
      <w:pPr>
        <w:spacing w:after="120"/>
        <w:ind w:firstLine="1440"/>
        <w:jc w:val="both"/>
        <w:rPr>
          <w:b/>
          <w:sz w:val="32"/>
          <w:szCs w:val="28"/>
        </w:rPr>
      </w:pPr>
    </w:p>
    <w:p w:rsidR="005A2BFF" w:rsidRDefault="006567BB" w:rsidP="00FA1FD2">
      <w:pPr>
        <w:pStyle w:val="02-TtuloPrincipal-CLG"/>
        <w:spacing w:after="120"/>
      </w:pPr>
      <w:r>
        <w:t xml:space="preserve">PROJETO </w:t>
      </w:r>
      <w:r w:rsidR="00F1514C">
        <w:t xml:space="preserve">DE LEI DE CONVERSÃO </w:t>
      </w:r>
      <w:proofErr w:type="gramStart"/>
      <w:r w:rsidR="00F1514C">
        <w:t xml:space="preserve">Nº </w:t>
      </w:r>
      <w:r w:rsidR="00B257C0">
        <w:t xml:space="preserve">    </w:t>
      </w:r>
      <w:r w:rsidR="00F1514C">
        <w:t>,</w:t>
      </w:r>
      <w:proofErr w:type="gramEnd"/>
      <w:r w:rsidR="00F1514C">
        <w:t xml:space="preserve"> DE 2015</w:t>
      </w:r>
    </w:p>
    <w:p w:rsidR="006567BB" w:rsidRPr="00FA1FD2" w:rsidRDefault="00800602" w:rsidP="00FA1FD2">
      <w:pPr>
        <w:pStyle w:val="02-TtuloPrincipal-CLG"/>
        <w:rPr>
          <w:sz w:val="28"/>
        </w:rPr>
      </w:pPr>
      <w:r>
        <w:rPr>
          <w:sz w:val="28"/>
        </w:rPr>
        <w:t>(À</w:t>
      </w:r>
      <w:r w:rsidR="006567BB" w:rsidRPr="00FA1FD2">
        <w:rPr>
          <w:sz w:val="28"/>
        </w:rPr>
        <w:t xml:space="preserve"> M</w:t>
      </w:r>
      <w:r w:rsidR="00F1514C">
        <w:rPr>
          <w:sz w:val="28"/>
        </w:rPr>
        <w:t>EDIDA PROVISÓRIA Nº 688, DE 2015</w:t>
      </w:r>
      <w:r w:rsidR="006567BB" w:rsidRPr="00FA1FD2">
        <w:rPr>
          <w:sz w:val="28"/>
        </w:rPr>
        <w:t>)</w:t>
      </w:r>
    </w:p>
    <w:p w:rsidR="00B257C0" w:rsidRDefault="00B257C0" w:rsidP="00B257C0">
      <w:pPr>
        <w:pStyle w:val="Default0"/>
      </w:pPr>
    </w:p>
    <w:p w:rsidR="005D08D3" w:rsidRPr="00D00E9D" w:rsidRDefault="00B257C0" w:rsidP="00B257C0">
      <w:pPr>
        <w:pStyle w:val="03-Ementa-CLG"/>
      </w:pPr>
      <w:r>
        <w:rPr>
          <w:color w:val="000000"/>
          <w:sz w:val="23"/>
          <w:szCs w:val="23"/>
        </w:rPr>
        <w:t xml:space="preserve">Dispõe sobre a repactuação do risco hidrológico de geração de energia elétrica, institui a bonificação pela outorga e altera </w:t>
      </w:r>
      <w:r w:rsidR="002771E7">
        <w:rPr>
          <w:color w:val="000000"/>
          <w:sz w:val="23"/>
          <w:szCs w:val="23"/>
        </w:rPr>
        <w:t xml:space="preserve">a Lei nº 9.427, de 26 de dezembro de 1996, que </w:t>
      </w:r>
      <w:r w:rsidR="002771E7" w:rsidRPr="002771E7">
        <w:rPr>
          <w:color w:val="000000"/>
          <w:sz w:val="23"/>
          <w:szCs w:val="23"/>
        </w:rPr>
        <w:t>disciplina o regime das concessões de serviços públicos de energia elétrica</w:t>
      </w:r>
      <w:r w:rsidR="002771E7">
        <w:rPr>
          <w:color w:val="000000"/>
          <w:sz w:val="23"/>
          <w:szCs w:val="23"/>
        </w:rPr>
        <w:t>, a Lei nº 9.478, de 6 de agosto de 1997, que institui o Conselho Nacional de Política Energética, a Lei nº 9.991, de 24 de julho de 2000, que d</w:t>
      </w:r>
      <w:r w:rsidR="002771E7" w:rsidRPr="002771E7">
        <w:rPr>
          <w:color w:val="000000"/>
          <w:sz w:val="23"/>
          <w:szCs w:val="23"/>
        </w:rPr>
        <w:t>ispõe sobre realização de investimentos em pesquisa e desenvolvimento e em eficiência energética por parte das empresas concessionárias, permissionárias e autorizadas do setor de energia elétrica</w:t>
      </w:r>
      <w:r w:rsidR="002771E7">
        <w:rPr>
          <w:color w:val="000000"/>
          <w:sz w:val="23"/>
          <w:szCs w:val="23"/>
        </w:rPr>
        <w:t xml:space="preserve">, </w:t>
      </w:r>
      <w:r>
        <w:rPr>
          <w:color w:val="000000"/>
          <w:sz w:val="23"/>
          <w:szCs w:val="23"/>
        </w:rPr>
        <w:t xml:space="preserve">a Lei nº 10.848, de 15 de março de 2004, que dispõe sobre a comercialização de energia elétrica, </w:t>
      </w:r>
      <w:r w:rsidR="002771E7">
        <w:rPr>
          <w:color w:val="000000"/>
          <w:sz w:val="23"/>
          <w:szCs w:val="23"/>
        </w:rPr>
        <w:t xml:space="preserve">a Lei nº 11.488, de 15 de junho de 2007, que equipara a autoprodutor o consumidor que atenda a requisitos que especifica, e </w:t>
      </w:r>
      <w:r>
        <w:rPr>
          <w:color w:val="000000"/>
          <w:sz w:val="23"/>
          <w:szCs w:val="23"/>
        </w:rPr>
        <w:t>a Lei nº 12.783, 11 de janeiro de 2013, que dispõe sobre as concessões de energia elétrica.</w:t>
      </w:r>
    </w:p>
    <w:p w:rsidR="005D08D3" w:rsidRPr="00FA1FD2" w:rsidRDefault="005D08D3" w:rsidP="00FA1FD2">
      <w:pPr>
        <w:pStyle w:val="04-Relatoria-CLG"/>
      </w:pPr>
      <w:r w:rsidRPr="00FA1FD2">
        <w:t xml:space="preserve">O </w:t>
      </w:r>
      <w:r w:rsidR="00FA1FD2" w:rsidRPr="00FA1FD2">
        <w:t xml:space="preserve">CONGRESSO NACIONAL </w:t>
      </w:r>
      <w:r w:rsidR="007F2FC8">
        <w:t>d</w:t>
      </w:r>
      <w:r w:rsidRPr="00FA1FD2">
        <w:t>ecreta: </w:t>
      </w:r>
    </w:p>
    <w:p w:rsidR="007F2FC8" w:rsidRPr="007F2FC8" w:rsidRDefault="007F2FC8" w:rsidP="007F2FC8">
      <w:pPr>
        <w:autoSpaceDE w:val="0"/>
        <w:autoSpaceDN w:val="0"/>
        <w:adjustRightInd w:val="0"/>
        <w:rPr>
          <w:color w:val="000000"/>
        </w:rPr>
      </w:pPr>
    </w:p>
    <w:p w:rsidR="00A31E2D" w:rsidRPr="00B446B8" w:rsidRDefault="00A31E2D" w:rsidP="00A31E2D">
      <w:pPr>
        <w:spacing w:before="225" w:after="240"/>
        <w:ind w:firstLine="567"/>
        <w:jc w:val="center"/>
        <w:rPr>
          <w:sz w:val="28"/>
          <w:szCs w:val="28"/>
        </w:rPr>
      </w:pPr>
      <w:r w:rsidRPr="00B446B8">
        <w:rPr>
          <w:color w:val="000000"/>
          <w:sz w:val="28"/>
          <w:szCs w:val="28"/>
        </w:rPr>
        <w:t>CAPÍTULO I</w:t>
      </w:r>
    </w:p>
    <w:p w:rsidR="00A31E2D" w:rsidRPr="00B446B8" w:rsidRDefault="00A31E2D" w:rsidP="00A31E2D">
      <w:pPr>
        <w:spacing w:before="225" w:after="240"/>
        <w:ind w:firstLine="567"/>
        <w:jc w:val="center"/>
        <w:rPr>
          <w:sz w:val="28"/>
          <w:szCs w:val="28"/>
        </w:rPr>
      </w:pPr>
      <w:r w:rsidRPr="00B446B8">
        <w:rPr>
          <w:color w:val="000000"/>
          <w:sz w:val="28"/>
          <w:szCs w:val="28"/>
        </w:rPr>
        <w:t>DA REPACTUAÇÃO DO RISCO HIDROLÓGICO </w:t>
      </w:r>
    </w:p>
    <w:p w:rsidR="00A31E2D" w:rsidRPr="00B446B8" w:rsidRDefault="00A31E2D" w:rsidP="00A31E2D">
      <w:pPr>
        <w:spacing w:before="225" w:after="240"/>
        <w:ind w:firstLine="1418"/>
        <w:jc w:val="both"/>
        <w:rPr>
          <w:sz w:val="28"/>
          <w:szCs w:val="28"/>
        </w:rPr>
      </w:pPr>
      <w:bookmarkStart w:id="3" w:name="art1"/>
      <w:bookmarkStart w:id="4" w:name="art2"/>
      <w:bookmarkEnd w:id="3"/>
      <w:bookmarkEnd w:id="4"/>
      <w:r w:rsidRPr="00902E48">
        <w:rPr>
          <w:b/>
          <w:color w:val="000000"/>
          <w:sz w:val="28"/>
          <w:szCs w:val="28"/>
        </w:rPr>
        <w:t>Art. 1º</w:t>
      </w:r>
      <w:r w:rsidRPr="00B446B8">
        <w:rPr>
          <w:color w:val="000000"/>
          <w:sz w:val="28"/>
          <w:szCs w:val="28"/>
        </w:rPr>
        <w:t xml:space="preserve"> O risco hidrológico suportado pelos agentes de geração hidrelétrica participantes do Mecanismo de Realocação de Energia - MRE poderá ser repactuado pelos geradores, desde que haja anuência da Agência Nacional de Energia Elétrica - ANEEL, com efeitos a partir de 1</w:t>
      </w:r>
      <w:r>
        <w:rPr>
          <w:color w:val="000000"/>
          <w:sz w:val="28"/>
          <w:szCs w:val="28"/>
        </w:rPr>
        <w:t>º</w:t>
      </w:r>
      <w:r w:rsidRPr="00B446B8">
        <w:rPr>
          <w:color w:val="000000"/>
          <w:sz w:val="28"/>
          <w:szCs w:val="28"/>
        </w:rPr>
        <w:t xml:space="preserve"> de janeiro de 2015, mediante contrapartida dos agentes de geração hidrelétrica. </w:t>
      </w:r>
    </w:p>
    <w:p w:rsidR="00A31E2D" w:rsidRPr="00B446B8" w:rsidRDefault="00A31E2D" w:rsidP="00A31E2D">
      <w:pPr>
        <w:spacing w:before="225" w:after="240"/>
        <w:ind w:firstLine="1418"/>
        <w:jc w:val="both"/>
        <w:rPr>
          <w:color w:val="000000"/>
          <w:sz w:val="28"/>
          <w:szCs w:val="28"/>
        </w:rPr>
      </w:pPr>
      <w:r w:rsidRPr="00B446B8">
        <w:rPr>
          <w:color w:val="000000"/>
          <w:sz w:val="28"/>
          <w:szCs w:val="28"/>
        </w:rPr>
        <w:t>§ 1</w:t>
      </w:r>
      <w:r>
        <w:rPr>
          <w:color w:val="000000"/>
          <w:sz w:val="28"/>
          <w:szCs w:val="28"/>
        </w:rPr>
        <w:t>º</w:t>
      </w:r>
      <w:r w:rsidRPr="00B446B8">
        <w:rPr>
          <w:color w:val="000000"/>
          <w:sz w:val="28"/>
          <w:szCs w:val="28"/>
        </w:rPr>
        <w:t xml:space="preserve"> O risco hidrológico repactuado, relativo à energia contratada no Ambiente de Contratação Regulada de que trata o art. 2º da Lei nº 10.848, de 15 de março de 2004, será coberto pela Conta Centralizadora dos Recursos de Bandeiras Tarifárias, observadas as seguintes condições:</w:t>
      </w:r>
    </w:p>
    <w:p w:rsidR="00A31E2D" w:rsidRPr="00B446B8" w:rsidRDefault="00A31E2D" w:rsidP="00A31E2D">
      <w:pPr>
        <w:spacing w:before="225" w:after="240"/>
        <w:ind w:firstLine="1418"/>
        <w:jc w:val="both"/>
        <w:rPr>
          <w:sz w:val="28"/>
          <w:szCs w:val="28"/>
        </w:rPr>
      </w:pPr>
      <w:r w:rsidRPr="00B446B8">
        <w:rPr>
          <w:color w:val="000000"/>
          <w:sz w:val="28"/>
          <w:szCs w:val="28"/>
        </w:rPr>
        <w:t xml:space="preserve">I - pagamento de prêmio de risco pelos geradores hidrelétricos, a ser aportado em favor da Conta Centralizadora dos Recursos de Bandeiras Tarifárias; </w:t>
      </w:r>
      <w:proofErr w:type="gramStart"/>
      <w:r w:rsidRPr="00B446B8">
        <w:rPr>
          <w:color w:val="000000"/>
          <w:sz w:val="28"/>
          <w:szCs w:val="28"/>
        </w:rPr>
        <w:t>e</w:t>
      </w:r>
      <w:proofErr w:type="gramEnd"/>
    </w:p>
    <w:p w:rsidR="00A31E2D" w:rsidRPr="00B446B8" w:rsidRDefault="00A31E2D" w:rsidP="00A31E2D">
      <w:pPr>
        <w:spacing w:before="225" w:after="240"/>
        <w:ind w:firstLine="1418"/>
        <w:jc w:val="both"/>
        <w:rPr>
          <w:sz w:val="28"/>
          <w:szCs w:val="28"/>
        </w:rPr>
      </w:pPr>
      <w:r w:rsidRPr="00B446B8">
        <w:rPr>
          <w:color w:val="000000"/>
          <w:sz w:val="28"/>
          <w:szCs w:val="28"/>
        </w:rPr>
        <w:t>II - cessão para a Conta Centralizadora dos Recursos de Bandeiras Tarifárias dos direitos e das obrigações dos geradores referentes, respectivamente, à liquidação da energia secundária e ao deslocamento de geração hidrelétrica, decorrentes de ajustes do MRE, no Mercado de Curto Prazo. </w:t>
      </w:r>
    </w:p>
    <w:p w:rsidR="002573AA" w:rsidRPr="00257968" w:rsidRDefault="002573AA" w:rsidP="002573AA">
      <w:pPr>
        <w:spacing w:before="225" w:after="240"/>
        <w:ind w:firstLine="1418"/>
        <w:jc w:val="both"/>
        <w:rPr>
          <w:color w:val="000000"/>
          <w:sz w:val="28"/>
          <w:szCs w:val="28"/>
        </w:rPr>
      </w:pPr>
      <w:r w:rsidRPr="00490264">
        <w:rPr>
          <w:color w:val="000000"/>
          <w:sz w:val="28"/>
          <w:szCs w:val="28"/>
        </w:rPr>
        <w:t xml:space="preserve">§ 2º Será ressarcido aos agentes de geração o resultado do deslocamento de geração hidrelétrica subtraído da liquidação da energia secundária e do prêmio de risco pactuado, referente à energia contratada no Ambiente de Contratação Regulada no ano de 2015, por meio da postergação de pagamento do prêmio de que trata o inciso I do § 1º, com aplicação de taxa de desconto, e, não havendo prazo remanescente de contrato de venda de </w:t>
      </w:r>
      <w:r w:rsidRPr="00257968">
        <w:rPr>
          <w:color w:val="000000"/>
          <w:sz w:val="28"/>
          <w:szCs w:val="28"/>
        </w:rPr>
        <w:t xml:space="preserve">energia que permita o ressarcimento, por meio dos seguintes instrumentos: </w:t>
      </w:r>
    </w:p>
    <w:p w:rsidR="002573AA" w:rsidRPr="00257968" w:rsidRDefault="002573AA" w:rsidP="002573AA">
      <w:pPr>
        <w:spacing w:before="225" w:after="240"/>
        <w:ind w:firstLine="1418"/>
        <w:jc w:val="both"/>
        <w:rPr>
          <w:color w:val="000000"/>
          <w:sz w:val="28"/>
          <w:szCs w:val="28"/>
        </w:rPr>
      </w:pPr>
      <w:r w:rsidRPr="00257968">
        <w:rPr>
          <w:color w:val="000000"/>
          <w:sz w:val="28"/>
          <w:szCs w:val="28"/>
        </w:rPr>
        <w:t xml:space="preserve">I - extensão do prazo das outorgas vigentes, com base nos preços contratados e compatível com o ressarcimento de que trata o § 2º, limitada </w:t>
      </w:r>
      <w:proofErr w:type="gramStart"/>
      <w:r w:rsidRPr="00257968">
        <w:rPr>
          <w:color w:val="000000"/>
          <w:sz w:val="28"/>
          <w:szCs w:val="28"/>
        </w:rPr>
        <w:t>a</w:t>
      </w:r>
      <w:proofErr w:type="gramEnd"/>
      <w:r w:rsidRPr="00257968">
        <w:rPr>
          <w:color w:val="000000"/>
          <w:sz w:val="28"/>
          <w:szCs w:val="28"/>
        </w:rPr>
        <w:t xml:space="preserve"> quinze anos, com direito de celebração de contrato de energia no Ambiente de Contratação Regulada coincidente com a extensão de prazo da outorga, mantidas as condições contratuais vigentes, ressalvada a repactuação do risco hidrológico; e</w:t>
      </w:r>
    </w:p>
    <w:p w:rsidR="00DF4737" w:rsidRPr="00DF4737" w:rsidRDefault="002573AA" w:rsidP="002573AA">
      <w:pPr>
        <w:spacing w:before="225" w:after="240"/>
        <w:ind w:firstLine="1418"/>
        <w:jc w:val="both"/>
        <w:rPr>
          <w:color w:val="000000"/>
          <w:sz w:val="28"/>
          <w:szCs w:val="28"/>
        </w:rPr>
      </w:pPr>
      <w:r w:rsidRPr="00257968">
        <w:rPr>
          <w:color w:val="000000"/>
          <w:sz w:val="28"/>
          <w:szCs w:val="28"/>
        </w:rPr>
        <w:t xml:space="preserve">II - extensão do prazo das outorgas vigentes, com base em preço de referência compatível com o ressarcimento de que trata o § 2º, limitada </w:t>
      </w:r>
      <w:proofErr w:type="gramStart"/>
      <w:r w:rsidRPr="00257968">
        <w:rPr>
          <w:color w:val="000000"/>
          <w:sz w:val="28"/>
          <w:szCs w:val="28"/>
        </w:rPr>
        <w:t>a</w:t>
      </w:r>
      <w:proofErr w:type="gramEnd"/>
      <w:r w:rsidRPr="00257968">
        <w:rPr>
          <w:color w:val="000000"/>
          <w:sz w:val="28"/>
          <w:szCs w:val="28"/>
        </w:rPr>
        <w:t xml:space="preserve"> quinze anos, dispondo o gerador livremente da energia.</w:t>
      </w:r>
    </w:p>
    <w:p w:rsidR="00DF4737" w:rsidRDefault="00DF4737" w:rsidP="00DF4737">
      <w:pPr>
        <w:spacing w:before="225" w:after="240"/>
        <w:ind w:firstLine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 3º</w:t>
      </w:r>
      <w:r w:rsidRPr="00DF4737">
        <w:rPr>
          <w:color w:val="000000"/>
          <w:sz w:val="28"/>
          <w:szCs w:val="28"/>
        </w:rPr>
        <w:t xml:space="preserve"> Para os agentes de geração que repactuarem o risco hidrológico em 2015, o valor do prêmio da transferência integral do risco hidrológico, incluindo o resultado da energia secundária, referente à energia contratada no Ambiente de Contratação Regulada, será de R$ 9,50 / </w:t>
      </w:r>
      <w:proofErr w:type="spellStart"/>
      <w:proofErr w:type="gramStart"/>
      <w:r w:rsidRPr="00DF4737">
        <w:rPr>
          <w:color w:val="000000"/>
          <w:sz w:val="28"/>
          <w:szCs w:val="28"/>
        </w:rPr>
        <w:t>MWh</w:t>
      </w:r>
      <w:proofErr w:type="spellEnd"/>
      <w:proofErr w:type="gramEnd"/>
      <w:r w:rsidRPr="00DF4737">
        <w:rPr>
          <w:color w:val="000000"/>
          <w:sz w:val="28"/>
          <w:szCs w:val="28"/>
        </w:rPr>
        <w:t xml:space="preserve"> (nove Reais e cinquenta centavos por Megawatt-hora), atualizado anualmente pela ANEEL com base na variação do Índice Nacional de Preços ao Consumidor Amplo - IPCA, publicado pela Fundação Instituto Brasileiro de Geografia e Estatística - IBGE. </w:t>
      </w:r>
    </w:p>
    <w:p w:rsidR="002A1443" w:rsidRPr="002A1443" w:rsidRDefault="002A1443" w:rsidP="00DF4737">
      <w:pPr>
        <w:spacing w:before="225" w:after="240"/>
        <w:ind w:firstLine="1418"/>
        <w:jc w:val="both"/>
        <w:rPr>
          <w:color w:val="000000"/>
          <w:sz w:val="28"/>
          <w:szCs w:val="28"/>
        </w:rPr>
      </w:pPr>
      <w:r w:rsidRPr="002A1443">
        <w:rPr>
          <w:color w:val="000000"/>
          <w:sz w:val="28"/>
          <w:szCs w:val="28"/>
        </w:rPr>
        <w:t>§ 4</w:t>
      </w:r>
      <w:r>
        <w:rPr>
          <w:color w:val="000000"/>
          <w:sz w:val="28"/>
          <w:szCs w:val="28"/>
        </w:rPr>
        <w:t>º</w:t>
      </w:r>
      <w:r w:rsidRPr="002A1443">
        <w:rPr>
          <w:color w:val="000000"/>
          <w:sz w:val="28"/>
          <w:szCs w:val="28"/>
        </w:rPr>
        <w:t xml:space="preserve"> A parcela do risco hidrológico vinculado à energia não contratada no Ambiente de Contratação Regulada será repactuada por meio da assunção, pelos agentes de geração, de no mínimo cinco por cento da energia em direitos e obrigações vinculados à energia de reserva de que trata o art. 3</w:t>
      </w:r>
      <w:r>
        <w:rPr>
          <w:color w:val="000000"/>
          <w:sz w:val="28"/>
          <w:szCs w:val="28"/>
        </w:rPr>
        <w:t>º</w:t>
      </w:r>
      <w:r w:rsidRPr="002A1443">
        <w:rPr>
          <w:color w:val="000000"/>
          <w:sz w:val="28"/>
          <w:szCs w:val="28"/>
        </w:rPr>
        <w:t>-A da Lei n</w:t>
      </w:r>
      <w:r>
        <w:rPr>
          <w:color w:val="000000"/>
          <w:sz w:val="28"/>
          <w:szCs w:val="28"/>
        </w:rPr>
        <w:t>º</w:t>
      </w:r>
      <w:r w:rsidRPr="002A1443">
        <w:rPr>
          <w:color w:val="000000"/>
          <w:sz w:val="28"/>
          <w:szCs w:val="28"/>
        </w:rPr>
        <w:t xml:space="preserve"> 10.848, de</w:t>
      </w:r>
      <w:r>
        <w:rPr>
          <w:color w:val="000000"/>
          <w:sz w:val="28"/>
          <w:szCs w:val="28"/>
        </w:rPr>
        <w:t xml:space="preserve"> 15 de março </w:t>
      </w:r>
      <w:r w:rsidRPr="002A1443">
        <w:rPr>
          <w:color w:val="000000"/>
          <w:sz w:val="28"/>
          <w:szCs w:val="28"/>
        </w:rPr>
        <w:t>2004, observadas as seguintes condições:</w:t>
      </w:r>
    </w:p>
    <w:p w:rsidR="002A1443" w:rsidRDefault="002A1443" w:rsidP="002A1443">
      <w:pPr>
        <w:spacing w:before="225" w:after="240"/>
        <w:ind w:firstLine="1418"/>
        <w:jc w:val="both"/>
        <w:rPr>
          <w:color w:val="000000"/>
          <w:sz w:val="28"/>
          <w:szCs w:val="28"/>
        </w:rPr>
      </w:pPr>
      <w:r w:rsidRPr="002A1443">
        <w:rPr>
          <w:color w:val="000000"/>
          <w:sz w:val="28"/>
          <w:szCs w:val="28"/>
        </w:rPr>
        <w:t xml:space="preserve">I - pagamento de prêmio de risco no valor de R$ 10,50 / </w:t>
      </w:r>
      <w:proofErr w:type="spellStart"/>
      <w:proofErr w:type="gramStart"/>
      <w:r w:rsidRPr="002A1443">
        <w:rPr>
          <w:color w:val="000000"/>
          <w:sz w:val="28"/>
          <w:szCs w:val="28"/>
        </w:rPr>
        <w:t>MWh</w:t>
      </w:r>
      <w:proofErr w:type="spellEnd"/>
      <w:proofErr w:type="gramEnd"/>
      <w:r w:rsidRPr="002A1443">
        <w:rPr>
          <w:color w:val="000000"/>
          <w:sz w:val="28"/>
          <w:szCs w:val="28"/>
        </w:rPr>
        <w:t xml:space="preserve"> (dez </w:t>
      </w:r>
      <w:r>
        <w:rPr>
          <w:color w:val="000000"/>
          <w:sz w:val="28"/>
          <w:szCs w:val="28"/>
        </w:rPr>
        <w:t>r</w:t>
      </w:r>
      <w:r w:rsidRPr="002A1443">
        <w:rPr>
          <w:color w:val="000000"/>
          <w:sz w:val="28"/>
          <w:szCs w:val="28"/>
        </w:rPr>
        <w:t xml:space="preserve">eais e cinquenta centavos por </w:t>
      </w:r>
      <w:r>
        <w:rPr>
          <w:color w:val="000000"/>
          <w:sz w:val="28"/>
          <w:szCs w:val="28"/>
        </w:rPr>
        <w:t>m</w:t>
      </w:r>
      <w:r w:rsidRPr="002A1443">
        <w:rPr>
          <w:color w:val="000000"/>
          <w:sz w:val="28"/>
          <w:szCs w:val="28"/>
        </w:rPr>
        <w:t>egawatt-hora), atualizado pela ANEEL pela variação do IPCA, publicado pelo IBGE, referente à assunção do valor mínimo de energia de que trata o § 4</w:t>
      </w:r>
      <w:r>
        <w:rPr>
          <w:color w:val="000000"/>
          <w:sz w:val="28"/>
          <w:szCs w:val="28"/>
        </w:rPr>
        <w:t>º</w:t>
      </w:r>
      <w:r w:rsidRPr="002A1443">
        <w:rPr>
          <w:color w:val="000000"/>
          <w:sz w:val="28"/>
          <w:szCs w:val="28"/>
        </w:rPr>
        <w:t>, pelos geradores hidrelétricos a ser aportado na Conta de Energia de Reserva - CONER; e</w:t>
      </w:r>
    </w:p>
    <w:p w:rsidR="00A31E2D" w:rsidRPr="00B446B8" w:rsidRDefault="00A31E2D" w:rsidP="00A31E2D">
      <w:pPr>
        <w:spacing w:before="225" w:after="240"/>
        <w:ind w:firstLine="1418"/>
        <w:jc w:val="both"/>
        <w:rPr>
          <w:sz w:val="28"/>
          <w:szCs w:val="28"/>
        </w:rPr>
      </w:pPr>
      <w:r w:rsidRPr="00B446B8">
        <w:rPr>
          <w:color w:val="000000"/>
          <w:sz w:val="28"/>
          <w:szCs w:val="28"/>
        </w:rPr>
        <w:t xml:space="preserve">II - </w:t>
      </w:r>
      <w:r w:rsidRPr="00A71B2D">
        <w:rPr>
          <w:color w:val="000000"/>
          <w:sz w:val="28"/>
          <w:szCs w:val="28"/>
        </w:rPr>
        <w:t xml:space="preserve">contratação pelos agentes de geração, em substituição à energia de reserva de que trata o § 4º, de reserva de capacidade de geração específica para a mitigação do risco hidrológico, a ser ressarcida por meio da extensão do prazo das outorgas vigentes, limitado </w:t>
      </w:r>
      <w:proofErr w:type="gramStart"/>
      <w:r w:rsidRPr="00A71B2D">
        <w:rPr>
          <w:color w:val="000000"/>
          <w:sz w:val="28"/>
          <w:szCs w:val="28"/>
        </w:rPr>
        <w:t>a</w:t>
      </w:r>
      <w:proofErr w:type="gramEnd"/>
      <w:r w:rsidRPr="00A71B2D">
        <w:rPr>
          <w:color w:val="000000"/>
          <w:sz w:val="28"/>
          <w:szCs w:val="28"/>
        </w:rPr>
        <w:t xml:space="preserve"> quinze anos, definida pelo Ministério de Minas e Energia, a partir de estudo realizado pela Empresa de Pesquisa Energética - EPE, cujos custos não serão rateados com os usuários finais de energia de reserva do Sistema Interligado Nacional </w:t>
      </w:r>
      <w:r>
        <w:rPr>
          <w:color w:val="000000"/>
          <w:sz w:val="28"/>
          <w:szCs w:val="28"/>
        </w:rPr>
        <w:t>–</w:t>
      </w:r>
      <w:r w:rsidRPr="00A71B2D">
        <w:rPr>
          <w:color w:val="000000"/>
          <w:sz w:val="28"/>
          <w:szCs w:val="28"/>
        </w:rPr>
        <w:t xml:space="preserve"> SIN</w:t>
      </w:r>
      <w:r>
        <w:rPr>
          <w:color w:val="000000"/>
          <w:sz w:val="28"/>
          <w:szCs w:val="28"/>
        </w:rPr>
        <w:t>.</w:t>
      </w:r>
    </w:p>
    <w:p w:rsidR="00A31E2D" w:rsidRPr="00B446B8" w:rsidRDefault="00A31E2D" w:rsidP="00A31E2D">
      <w:pPr>
        <w:spacing w:before="225" w:after="240"/>
        <w:ind w:firstLine="1418"/>
        <w:jc w:val="both"/>
        <w:rPr>
          <w:color w:val="000000"/>
          <w:sz w:val="28"/>
          <w:szCs w:val="28"/>
        </w:rPr>
      </w:pPr>
      <w:r w:rsidRPr="00B446B8">
        <w:rPr>
          <w:color w:val="000000"/>
          <w:sz w:val="28"/>
          <w:szCs w:val="28"/>
        </w:rPr>
        <w:t>§ 5</w:t>
      </w:r>
      <w:r>
        <w:rPr>
          <w:color w:val="000000"/>
          <w:sz w:val="28"/>
          <w:szCs w:val="28"/>
        </w:rPr>
        <w:t>º</w:t>
      </w:r>
      <w:r w:rsidRPr="00B446B8">
        <w:rPr>
          <w:color w:val="000000"/>
          <w:sz w:val="28"/>
          <w:szCs w:val="28"/>
        </w:rPr>
        <w:t xml:space="preserve"> Serão realizados leilões de energia de reserva de capacidade de geração específica para a mitigação do risco hidrológico com contratação de energia suficiente para atendimento total à substituição da energia de reserva de que trata o inciso II do § 4º, com início de suprimento até 1º de janeiro de 2019</w:t>
      </w:r>
      <w:r w:rsidR="00F75799" w:rsidRPr="00F75799">
        <w:rPr>
          <w:color w:val="000000"/>
          <w:sz w:val="28"/>
          <w:szCs w:val="28"/>
        </w:rPr>
        <w:t>, cujo preço será limitado ao preço da energia de reserva de que trata o § 4º</w:t>
      </w:r>
      <w:r w:rsidRPr="00B446B8">
        <w:rPr>
          <w:color w:val="000000"/>
          <w:sz w:val="28"/>
          <w:szCs w:val="28"/>
        </w:rPr>
        <w:t xml:space="preserve">. </w:t>
      </w:r>
    </w:p>
    <w:p w:rsidR="00A31E2D" w:rsidRPr="00B446B8" w:rsidRDefault="00A31E2D" w:rsidP="00A31E2D">
      <w:pPr>
        <w:spacing w:before="225" w:after="240"/>
        <w:ind w:firstLine="1418"/>
        <w:jc w:val="both"/>
        <w:rPr>
          <w:sz w:val="28"/>
          <w:szCs w:val="28"/>
        </w:rPr>
      </w:pPr>
      <w:r w:rsidRPr="00B446B8">
        <w:rPr>
          <w:color w:val="000000"/>
          <w:sz w:val="28"/>
          <w:szCs w:val="28"/>
        </w:rPr>
        <w:t>§ 6</w:t>
      </w:r>
      <w:r>
        <w:rPr>
          <w:color w:val="000000"/>
          <w:sz w:val="28"/>
          <w:szCs w:val="28"/>
        </w:rPr>
        <w:t>º</w:t>
      </w:r>
      <w:r w:rsidRPr="00B446B8">
        <w:rPr>
          <w:color w:val="000000"/>
          <w:sz w:val="28"/>
          <w:szCs w:val="28"/>
        </w:rPr>
        <w:t xml:space="preserve"> Será ressarcido aos agentes de geração o resultado do deslocamento de geração hidrelétrica subtraído da liquidação da energia secundária e do prêmio de risco pactuado na forma do inciso I do § 4</w:t>
      </w:r>
      <w:r>
        <w:rPr>
          <w:color w:val="000000"/>
          <w:sz w:val="28"/>
          <w:szCs w:val="28"/>
        </w:rPr>
        <w:t>º</w:t>
      </w:r>
      <w:r w:rsidRPr="00B446B8">
        <w:rPr>
          <w:color w:val="000000"/>
          <w:sz w:val="28"/>
          <w:szCs w:val="28"/>
        </w:rPr>
        <w:t>, no ano de 2015, referente à energia não contratada no Ambiente de Contratação Regulada por meio de quaisquer dos seguintes instrumentos:</w:t>
      </w:r>
    </w:p>
    <w:p w:rsidR="00A31E2D" w:rsidRPr="00B446B8" w:rsidRDefault="00A31E2D" w:rsidP="00A31E2D">
      <w:pPr>
        <w:spacing w:before="225" w:after="240"/>
        <w:ind w:firstLine="1418"/>
        <w:jc w:val="both"/>
        <w:rPr>
          <w:sz w:val="28"/>
          <w:szCs w:val="28"/>
        </w:rPr>
      </w:pPr>
      <w:r w:rsidRPr="00B446B8">
        <w:rPr>
          <w:color w:val="000000"/>
          <w:sz w:val="28"/>
          <w:szCs w:val="28"/>
        </w:rPr>
        <w:t>I - extensão de prazo da outorga vigente, limitad</w:t>
      </w:r>
      <w:r w:rsidR="00FC3D75">
        <w:rPr>
          <w:color w:val="000000"/>
          <w:sz w:val="28"/>
          <w:szCs w:val="28"/>
        </w:rPr>
        <w:t>a</w:t>
      </w:r>
      <w:r w:rsidRPr="00B446B8">
        <w:rPr>
          <w:color w:val="000000"/>
          <w:sz w:val="28"/>
          <w:szCs w:val="28"/>
        </w:rPr>
        <w:t xml:space="preserve"> </w:t>
      </w:r>
      <w:proofErr w:type="gramStart"/>
      <w:r w:rsidRPr="00B446B8">
        <w:rPr>
          <w:color w:val="000000"/>
          <w:sz w:val="28"/>
          <w:szCs w:val="28"/>
        </w:rPr>
        <w:t>a</w:t>
      </w:r>
      <w:proofErr w:type="gramEnd"/>
      <w:r w:rsidRPr="00B446B8">
        <w:rPr>
          <w:color w:val="000000"/>
          <w:sz w:val="28"/>
          <w:szCs w:val="28"/>
        </w:rPr>
        <w:t xml:space="preserve"> quinze anos, dispondo o gerador livremente da energia; e</w:t>
      </w:r>
    </w:p>
    <w:p w:rsidR="00A31E2D" w:rsidRPr="00B446B8" w:rsidRDefault="00A31E2D" w:rsidP="00A31E2D">
      <w:pPr>
        <w:spacing w:before="225" w:after="240"/>
        <w:ind w:firstLine="1418"/>
        <w:jc w:val="both"/>
        <w:rPr>
          <w:sz w:val="28"/>
          <w:szCs w:val="28"/>
        </w:rPr>
      </w:pPr>
      <w:bookmarkStart w:id="5" w:name="art1§5ii"/>
      <w:bookmarkEnd w:id="5"/>
      <w:r w:rsidRPr="00B446B8">
        <w:rPr>
          <w:color w:val="000000"/>
          <w:sz w:val="28"/>
          <w:szCs w:val="28"/>
        </w:rPr>
        <w:t>II - direito de celebração de contrato de energia no Ambiente de Contratação Regulada, coincidente com a extensão de prazo da outorga vigente, limitad</w:t>
      </w:r>
      <w:r w:rsidR="00FC3D75">
        <w:rPr>
          <w:color w:val="000000"/>
          <w:sz w:val="28"/>
          <w:szCs w:val="28"/>
        </w:rPr>
        <w:t>a</w:t>
      </w:r>
      <w:r w:rsidRPr="00B446B8">
        <w:rPr>
          <w:color w:val="000000"/>
          <w:sz w:val="28"/>
          <w:szCs w:val="28"/>
        </w:rPr>
        <w:t xml:space="preserve"> </w:t>
      </w:r>
      <w:proofErr w:type="gramStart"/>
      <w:r w:rsidRPr="00B446B8">
        <w:rPr>
          <w:color w:val="000000"/>
          <w:sz w:val="28"/>
          <w:szCs w:val="28"/>
        </w:rPr>
        <w:t>a</w:t>
      </w:r>
      <w:proofErr w:type="gramEnd"/>
      <w:r w:rsidRPr="00B446B8">
        <w:rPr>
          <w:color w:val="000000"/>
          <w:sz w:val="28"/>
          <w:szCs w:val="28"/>
        </w:rPr>
        <w:t xml:space="preserve"> quinze anos, a preços e condições a serem estabelecidos pela ANEEL. </w:t>
      </w:r>
    </w:p>
    <w:p w:rsidR="00A31E2D" w:rsidRPr="00B446B8" w:rsidRDefault="00A31E2D" w:rsidP="00A31E2D">
      <w:pPr>
        <w:spacing w:before="225" w:after="240"/>
        <w:ind w:firstLine="1418"/>
        <w:jc w:val="both"/>
        <w:rPr>
          <w:sz w:val="28"/>
          <w:szCs w:val="28"/>
        </w:rPr>
      </w:pPr>
      <w:r w:rsidRPr="00B446B8">
        <w:rPr>
          <w:color w:val="000000"/>
          <w:sz w:val="28"/>
          <w:szCs w:val="28"/>
        </w:rPr>
        <w:t>§ 7</w:t>
      </w:r>
      <w:r>
        <w:rPr>
          <w:color w:val="000000"/>
          <w:sz w:val="28"/>
          <w:szCs w:val="28"/>
        </w:rPr>
        <w:t>º</w:t>
      </w:r>
      <w:r w:rsidRPr="00B446B8">
        <w:rPr>
          <w:color w:val="000000"/>
          <w:sz w:val="28"/>
          <w:szCs w:val="28"/>
        </w:rPr>
        <w:t xml:space="preserve"> A repactuação do risco não inclui os efeitos de perdas elétricas da rede básica, de consumo interno e de indisponibilidade de geração. </w:t>
      </w:r>
    </w:p>
    <w:p w:rsidR="00A31E2D" w:rsidRPr="00B446B8" w:rsidRDefault="00DF4737" w:rsidP="00A31E2D">
      <w:pPr>
        <w:spacing w:before="225" w:after="240"/>
        <w:ind w:firstLine="1418"/>
        <w:jc w:val="both"/>
        <w:rPr>
          <w:color w:val="000000"/>
          <w:sz w:val="28"/>
          <w:szCs w:val="28"/>
        </w:rPr>
      </w:pPr>
      <w:r w:rsidRPr="00DF4737">
        <w:rPr>
          <w:color w:val="000000"/>
          <w:sz w:val="28"/>
          <w:szCs w:val="28"/>
        </w:rPr>
        <w:t>§ 8</w:t>
      </w:r>
      <w:r w:rsidR="00351CE9">
        <w:rPr>
          <w:color w:val="000000"/>
          <w:sz w:val="28"/>
          <w:szCs w:val="28"/>
        </w:rPr>
        <w:t>º</w:t>
      </w:r>
      <w:r>
        <w:rPr>
          <w:color w:val="000000"/>
          <w:sz w:val="28"/>
          <w:szCs w:val="28"/>
        </w:rPr>
        <w:t xml:space="preserve"> Observado o disposto nos §§ 3º e 4º,</w:t>
      </w:r>
      <w:r w:rsidRPr="00DF4737">
        <w:rPr>
          <w:color w:val="000000"/>
          <w:sz w:val="28"/>
          <w:szCs w:val="28"/>
        </w:rPr>
        <w:t xml:space="preserve"> a ANEEL estabelecerá os prêmios de r</w:t>
      </w:r>
      <w:r>
        <w:rPr>
          <w:color w:val="000000"/>
          <w:sz w:val="28"/>
          <w:szCs w:val="28"/>
        </w:rPr>
        <w:t>isco, os preços de referência,</w:t>
      </w:r>
      <w:r w:rsidRPr="00DF4737">
        <w:rPr>
          <w:color w:val="000000"/>
          <w:sz w:val="28"/>
          <w:szCs w:val="28"/>
        </w:rPr>
        <w:t xml:space="preserve"> a taxa de desconto e a extensão de prazo da outorga vigente de que trata este artigo</w:t>
      </w:r>
      <w:r w:rsidR="00351CE9">
        <w:rPr>
          <w:color w:val="000000"/>
          <w:sz w:val="28"/>
          <w:szCs w:val="28"/>
        </w:rPr>
        <w:t xml:space="preserve">. </w:t>
      </w:r>
    </w:p>
    <w:p w:rsidR="00A31E2D" w:rsidRPr="00B446B8" w:rsidRDefault="00A31E2D" w:rsidP="00A31E2D">
      <w:pPr>
        <w:spacing w:before="225" w:after="240"/>
        <w:ind w:firstLine="1418"/>
        <w:jc w:val="both"/>
        <w:rPr>
          <w:sz w:val="28"/>
          <w:szCs w:val="28"/>
        </w:rPr>
      </w:pPr>
      <w:r w:rsidRPr="00B446B8">
        <w:rPr>
          <w:color w:val="000000"/>
          <w:sz w:val="28"/>
          <w:szCs w:val="28"/>
        </w:rPr>
        <w:t>§ 9</w:t>
      </w:r>
      <w:r>
        <w:rPr>
          <w:color w:val="000000"/>
          <w:sz w:val="28"/>
          <w:szCs w:val="28"/>
        </w:rPr>
        <w:t>º</w:t>
      </w:r>
      <w:r w:rsidRPr="00B446B8">
        <w:rPr>
          <w:color w:val="000000"/>
          <w:sz w:val="28"/>
          <w:szCs w:val="28"/>
        </w:rPr>
        <w:t xml:space="preserve"> As revisões ordinárias de garantia física das usinas participantes do MRE que impliquem alteração da garantia física utilizada como base para a repactuação do risco hidrológico de que trata o </w:t>
      </w:r>
      <w:r w:rsidRPr="007C61BD">
        <w:rPr>
          <w:b/>
          <w:bCs/>
          <w:color w:val="000000"/>
          <w:sz w:val="28"/>
          <w:szCs w:val="28"/>
        </w:rPr>
        <w:t>caput</w:t>
      </w:r>
      <w:r w:rsidRPr="007C61BD">
        <w:rPr>
          <w:color w:val="000000"/>
          <w:sz w:val="28"/>
          <w:szCs w:val="28"/>
        </w:rPr>
        <w:t xml:space="preserve"> ensejarão alteração, pela ANEEL, do preço dos contratos de que tr</w:t>
      </w:r>
      <w:r w:rsidR="00351CE9">
        <w:rPr>
          <w:color w:val="000000"/>
          <w:sz w:val="28"/>
          <w:szCs w:val="28"/>
        </w:rPr>
        <w:t>atam o inciso I do § 2</w:t>
      </w:r>
      <w:r>
        <w:rPr>
          <w:color w:val="000000"/>
          <w:sz w:val="28"/>
          <w:szCs w:val="28"/>
        </w:rPr>
        <w:t>º</w:t>
      </w:r>
      <w:r w:rsidRPr="007C61BD">
        <w:rPr>
          <w:color w:val="000000"/>
          <w:sz w:val="28"/>
          <w:szCs w:val="28"/>
        </w:rPr>
        <w:t xml:space="preserve"> e o inciso II do § 6</w:t>
      </w:r>
      <w:r>
        <w:rPr>
          <w:color w:val="000000"/>
          <w:sz w:val="28"/>
          <w:szCs w:val="28"/>
        </w:rPr>
        <w:t>º</w:t>
      </w:r>
      <w:r w:rsidRPr="007C61BD">
        <w:rPr>
          <w:color w:val="000000"/>
          <w:sz w:val="28"/>
          <w:szCs w:val="28"/>
        </w:rPr>
        <w:t xml:space="preserve"> ou da extensão do prazo da outorga.</w:t>
      </w:r>
      <w:r w:rsidRPr="00B446B8">
        <w:rPr>
          <w:color w:val="000000"/>
          <w:sz w:val="28"/>
          <w:szCs w:val="28"/>
        </w:rPr>
        <w:t> </w:t>
      </w:r>
    </w:p>
    <w:p w:rsidR="00A31E2D" w:rsidRDefault="00A31E2D" w:rsidP="00A31E2D">
      <w:pPr>
        <w:spacing w:before="225" w:after="240"/>
        <w:ind w:firstLine="1418"/>
        <w:jc w:val="both"/>
        <w:rPr>
          <w:sz w:val="28"/>
          <w:szCs w:val="28"/>
        </w:rPr>
      </w:pPr>
      <w:r w:rsidRPr="00B446B8">
        <w:rPr>
          <w:color w:val="000000"/>
          <w:sz w:val="28"/>
          <w:szCs w:val="28"/>
        </w:rPr>
        <w:t xml:space="preserve">§ 10. O agente de geração, que possuir ação judicial em curso na qual requeira isenção ou mitigação de riscos hidrológicos relacionados ao MRE, deverá, como condição para valer-se da repactuação prevista no </w:t>
      </w:r>
      <w:r w:rsidRPr="00B446B8">
        <w:rPr>
          <w:b/>
          <w:bCs/>
          <w:color w:val="000000"/>
          <w:sz w:val="28"/>
          <w:szCs w:val="28"/>
        </w:rPr>
        <w:t>caput</w:t>
      </w:r>
      <w:r w:rsidRPr="00B446B8">
        <w:rPr>
          <w:color w:val="000000"/>
          <w:sz w:val="28"/>
          <w:szCs w:val="28"/>
        </w:rPr>
        <w:t xml:space="preserve">, desistir da ação judicial e renunciar a qualquer alegação de direito sobre a qual se </w:t>
      </w:r>
      <w:r w:rsidRPr="00B446B8">
        <w:rPr>
          <w:sz w:val="28"/>
          <w:szCs w:val="28"/>
        </w:rPr>
        <w:t>funde a referida ação, protocolando requerimento de extinção do processo com resolução do mérito, ficando dispensados os honorários advocatícios em razão da extinção da ação. </w:t>
      </w:r>
    </w:p>
    <w:p w:rsidR="00A31E2D" w:rsidRPr="00B446B8" w:rsidRDefault="00A31E2D" w:rsidP="00A31E2D">
      <w:pPr>
        <w:spacing w:before="225" w:after="240"/>
        <w:ind w:firstLine="1418"/>
        <w:jc w:val="both"/>
        <w:rPr>
          <w:sz w:val="28"/>
          <w:szCs w:val="28"/>
        </w:rPr>
      </w:pPr>
      <w:r w:rsidRPr="00495214">
        <w:rPr>
          <w:sz w:val="28"/>
          <w:szCs w:val="28"/>
        </w:rPr>
        <w:t xml:space="preserve">§ 11. Os </w:t>
      </w:r>
      <w:r>
        <w:rPr>
          <w:sz w:val="28"/>
          <w:szCs w:val="28"/>
        </w:rPr>
        <w:t>agentes de geração hidrelétrica</w:t>
      </w:r>
      <w:r w:rsidRPr="00495214">
        <w:rPr>
          <w:sz w:val="28"/>
          <w:szCs w:val="28"/>
        </w:rPr>
        <w:t xml:space="preserve"> que tenham se desligado do MRE </w:t>
      </w:r>
      <w:r>
        <w:rPr>
          <w:sz w:val="28"/>
          <w:szCs w:val="28"/>
        </w:rPr>
        <w:t>durante o ano de 2015</w:t>
      </w:r>
      <w:r w:rsidRPr="00495214">
        <w:rPr>
          <w:sz w:val="28"/>
          <w:szCs w:val="28"/>
        </w:rPr>
        <w:t xml:space="preserve"> farão jus à repactuação do risco hidrológico suportado durante o período de sua participação no MRE, nos termos do disposto neste artigo.</w:t>
      </w:r>
    </w:p>
    <w:p w:rsidR="00A31E2D" w:rsidRPr="00B446B8" w:rsidRDefault="00A31E2D" w:rsidP="00A31E2D">
      <w:pPr>
        <w:spacing w:before="225" w:after="240"/>
        <w:ind w:firstLine="1418"/>
        <w:jc w:val="both"/>
        <w:rPr>
          <w:sz w:val="28"/>
          <w:szCs w:val="28"/>
        </w:rPr>
      </w:pPr>
      <w:r w:rsidRPr="00902E48">
        <w:rPr>
          <w:b/>
          <w:sz w:val="28"/>
          <w:szCs w:val="28"/>
        </w:rPr>
        <w:t>Art. 2º</w:t>
      </w:r>
      <w:r w:rsidRPr="00B446B8">
        <w:rPr>
          <w:sz w:val="28"/>
          <w:szCs w:val="28"/>
        </w:rPr>
        <w:t xml:space="preserve"> A ANEEL deverá estabelecer</w:t>
      </w:r>
      <w:r>
        <w:rPr>
          <w:sz w:val="28"/>
          <w:szCs w:val="28"/>
        </w:rPr>
        <w:t>,</w:t>
      </w:r>
      <w:r w:rsidRPr="00B446B8">
        <w:rPr>
          <w:sz w:val="28"/>
          <w:szCs w:val="28"/>
        </w:rPr>
        <w:t xml:space="preserve"> </w:t>
      </w:r>
      <w:r>
        <w:rPr>
          <w:sz w:val="28"/>
          <w:szCs w:val="28"/>
        </w:rPr>
        <w:t>a partir</w:t>
      </w:r>
      <w:r w:rsidRPr="00B446B8">
        <w:rPr>
          <w:sz w:val="28"/>
          <w:szCs w:val="28"/>
        </w:rPr>
        <w:t xml:space="preserve"> de 2016</w:t>
      </w:r>
      <w:r>
        <w:rPr>
          <w:sz w:val="28"/>
          <w:szCs w:val="28"/>
        </w:rPr>
        <w:t>,</w:t>
      </w:r>
      <w:r w:rsidRPr="00B446B8">
        <w:rPr>
          <w:sz w:val="28"/>
          <w:szCs w:val="28"/>
        </w:rPr>
        <w:t xml:space="preserve"> a valoração e as condições de pagamento pelos participantes do MRE do custo do deslocamento de geração hidrelétrica decorrente de:</w:t>
      </w:r>
    </w:p>
    <w:p w:rsidR="00A31E2D" w:rsidRPr="00B446B8" w:rsidRDefault="00A31E2D" w:rsidP="00A31E2D">
      <w:pPr>
        <w:spacing w:before="225" w:after="240"/>
        <w:ind w:firstLine="1418"/>
        <w:jc w:val="both"/>
        <w:rPr>
          <w:sz w:val="28"/>
          <w:szCs w:val="28"/>
        </w:rPr>
      </w:pPr>
      <w:r w:rsidRPr="00B446B8">
        <w:rPr>
          <w:sz w:val="28"/>
          <w:szCs w:val="28"/>
        </w:rPr>
        <w:t>I - geração termelétrica que exceder aquela por ordem de mérito;</w:t>
      </w:r>
      <w:r w:rsidR="00351CE9">
        <w:rPr>
          <w:sz w:val="28"/>
          <w:szCs w:val="28"/>
        </w:rPr>
        <w:t xml:space="preserve"> </w:t>
      </w:r>
      <w:proofErr w:type="gramStart"/>
      <w:r w:rsidRPr="00B446B8">
        <w:rPr>
          <w:sz w:val="28"/>
          <w:szCs w:val="28"/>
        </w:rPr>
        <w:t>e</w:t>
      </w:r>
      <w:proofErr w:type="gramEnd"/>
    </w:p>
    <w:p w:rsidR="00A31E2D" w:rsidRPr="00B446B8" w:rsidRDefault="00A31E2D" w:rsidP="00A31E2D">
      <w:pPr>
        <w:spacing w:before="225" w:after="240"/>
        <w:ind w:firstLine="1418"/>
        <w:jc w:val="both"/>
        <w:rPr>
          <w:sz w:val="28"/>
          <w:szCs w:val="28"/>
        </w:rPr>
      </w:pPr>
      <w:r w:rsidRPr="00B446B8">
        <w:rPr>
          <w:sz w:val="28"/>
          <w:szCs w:val="28"/>
        </w:rPr>
        <w:t>II - importação de energia elétrica sem garantia física associada.</w:t>
      </w:r>
    </w:p>
    <w:p w:rsidR="002F378B" w:rsidRDefault="002F378B" w:rsidP="00A31E2D">
      <w:pPr>
        <w:spacing w:before="225" w:after="240"/>
        <w:ind w:firstLine="567"/>
        <w:jc w:val="center"/>
        <w:rPr>
          <w:color w:val="000000"/>
          <w:sz w:val="28"/>
          <w:szCs w:val="28"/>
        </w:rPr>
      </w:pPr>
    </w:p>
    <w:p w:rsidR="00A31E2D" w:rsidRPr="00B446B8" w:rsidRDefault="00A31E2D" w:rsidP="00A31E2D">
      <w:pPr>
        <w:spacing w:before="225" w:after="240"/>
        <w:ind w:firstLine="567"/>
        <w:jc w:val="center"/>
        <w:rPr>
          <w:color w:val="000000"/>
          <w:sz w:val="28"/>
          <w:szCs w:val="28"/>
        </w:rPr>
      </w:pPr>
      <w:r w:rsidRPr="00B446B8">
        <w:rPr>
          <w:color w:val="000000"/>
          <w:sz w:val="28"/>
          <w:szCs w:val="28"/>
        </w:rPr>
        <w:t>CAPÍTULO II</w:t>
      </w:r>
    </w:p>
    <w:p w:rsidR="00A31E2D" w:rsidRPr="00B446B8" w:rsidRDefault="00A31E2D" w:rsidP="00A31E2D">
      <w:pPr>
        <w:spacing w:before="225" w:after="240"/>
        <w:ind w:firstLine="567"/>
        <w:jc w:val="center"/>
        <w:rPr>
          <w:sz w:val="28"/>
          <w:szCs w:val="28"/>
        </w:rPr>
      </w:pPr>
      <w:r w:rsidRPr="00B446B8">
        <w:rPr>
          <w:color w:val="000000"/>
          <w:sz w:val="28"/>
          <w:szCs w:val="28"/>
        </w:rPr>
        <w:t>DA BONIFICAÇÃO PELA OUTORGA DE CONCESSÃO DE GERAÇÃO, TRANSMISSÃO E DISTRIBUIÇÃO DE ENERGIA ELÉTRICA </w:t>
      </w:r>
    </w:p>
    <w:p w:rsidR="00A31E2D" w:rsidRDefault="00A31E2D" w:rsidP="00A31E2D">
      <w:pPr>
        <w:pStyle w:val="NormalWeb"/>
        <w:spacing w:before="225" w:beforeAutospacing="0" w:after="240" w:afterAutospacing="0"/>
        <w:ind w:firstLine="1418"/>
        <w:jc w:val="both"/>
        <w:rPr>
          <w:sz w:val="28"/>
          <w:szCs w:val="28"/>
        </w:rPr>
      </w:pPr>
      <w:bookmarkStart w:id="6" w:name="art3"/>
      <w:bookmarkEnd w:id="6"/>
      <w:r w:rsidRPr="00902E48">
        <w:rPr>
          <w:b/>
          <w:color w:val="000000"/>
          <w:sz w:val="28"/>
          <w:szCs w:val="28"/>
        </w:rPr>
        <w:t>Art. 3º</w:t>
      </w:r>
      <w:r w:rsidRPr="00B446B8">
        <w:rPr>
          <w:color w:val="000000"/>
          <w:sz w:val="28"/>
          <w:szCs w:val="28"/>
        </w:rPr>
        <w:t xml:space="preserve"> A Lei n</w:t>
      </w:r>
      <w:r w:rsidRPr="00B446B8">
        <w:rPr>
          <w:color w:val="000000"/>
          <w:sz w:val="28"/>
          <w:szCs w:val="28"/>
          <w:vertAlign w:val="superscript"/>
        </w:rPr>
        <w:t>o</w:t>
      </w:r>
      <w:r w:rsidRPr="00B446B8">
        <w:rPr>
          <w:color w:val="000000"/>
          <w:sz w:val="28"/>
          <w:szCs w:val="28"/>
        </w:rPr>
        <w:t xml:space="preserve"> 12.783, de 11 de janeiro de 2013, passa a vigorar com as seguintes alterações: </w:t>
      </w:r>
    </w:p>
    <w:p w:rsidR="00A31E2D" w:rsidRDefault="00A31E2D" w:rsidP="00A31E2D">
      <w:pPr>
        <w:pStyle w:val="07-Citaolegal-CLG"/>
        <w:rPr>
          <w:szCs w:val="22"/>
        </w:rPr>
      </w:pPr>
      <w:r w:rsidRPr="00902E48">
        <w:rPr>
          <w:szCs w:val="22"/>
        </w:rPr>
        <w:t>“</w:t>
      </w:r>
      <w:r w:rsidRPr="00902E48">
        <w:rPr>
          <w:b/>
          <w:szCs w:val="22"/>
        </w:rPr>
        <w:t>Art. 8º</w:t>
      </w:r>
      <w:r w:rsidRPr="00902E48">
        <w:rPr>
          <w:szCs w:val="22"/>
        </w:rPr>
        <w:t xml:space="preserve"> </w:t>
      </w:r>
      <w:r>
        <w:rPr>
          <w:szCs w:val="22"/>
        </w:rPr>
        <w:t>...............</w:t>
      </w:r>
      <w:r w:rsidRPr="00902E48">
        <w:rPr>
          <w:szCs w:val="22"/>
        </w:rPr>
        <w:t>........................................................................</w:t>
      </w:r>
    </w:p>
    <w:p w:rsidR="00A31E2D" w:rsidRDefault="00A31E2D" w:rsidP="00A31E2D">
      <w:pPr>
        <w:pStyle w:val="07-Citaolegal-CLG"/>
        <w:rPr>
          <w:szCs w:val="22"/>
        </w:rPr>
      </w:pPr>
      <w:r w:rsidRPr="00902E48">
        <w:rPr>
          <w:szCs w:val="22"/>
        </w:rPr>
        <w:t>................................</w:t>
      </w:r>
      <w:r>
        <w:rPr>
          <w:szCs w:val="22"/>
        </w:rPr>
        <w:t>.........</w:t>
      </w:r>
      <w:r w:rsidRPr="00902E48">
        <w:rPr>
          <w:szCs w:val="22"/>
        </w:rPr>
        <w:t>............................................................. </w:t>
      </w:r>
    </w:p>
    <w:p w:rsidR="00A31E2D" w:rsidRDefault="00A31E2D" w:rsidP="00A31E2D">
      <w:pPr>
        <w:pStyle w:val="07-Citaolegal-CLG"/>
        <w:rPr>
          <w:szCs w:val="22"/>
        </w:rPr>
      </w:pPr>
      <w:r w:rsidRPr="00902E48">
        <w:rPr>
          <w:szCs w:val="22"/>
        </w:rPr>
        <w:t xml:space="preserve">§ 6º A licitação de que trata o </w:t>
      </w:r>
      <w:r w:rsidRPr="00FC3D75">
        <w:rPr>
          <w:b/>
          <w:szCs w:val="22"/>
        </w:rPr>
        <w:t>caput</w:t>
      </w:r>
      <w:r w:rsidRPr="00902E48">
        <w:rPr>
          <w:szCs w:val="22"/>
        </w:rPr>
        <w:t xml:space="preserve"> poderá utilizar os critérios estabelecidos nos incisos I e II do </w:t>
      </w:r>
      <w:r w:rsidRPr="00FC3D75">
        <w:rPr>
          <w:b/>
          <w:szCs w:val="22"/>
        </w:rPr>
        <w:t>caput</w:t>
      </w:r>
      <w:r w:rsidRPr="00902E48">
        <w:rPr>
          <w:szCs w:val="22"/>
        </w:rPr>
        <w:t xml:space="preserve"> do art. 15 da Lei nº 8.987, de 13 de fevereiro de 1995, ou a combinação dos dois critérios. </w:t>
      </w:r>
    </w:p>
    <w:p w:rsidR="00A31E2D" w:rsidRDefault="00A31E2D" w:rsidP="00A31E2D">
      <w:pPr>
        <w:pStyle w:val="07-Citaolegal-CLG"/>
        <w:rPr>
          <w:szCs w:val="22"/>
        </w:rPr>
      </w:pPr>
      <w:r w:rsidRPr="00902E48">
        <w:rPr>
          <w:szCs w:val="22"/>
        </w:rPr>
        <w:t xml:space="preserve">§ 7º O pagamento pela outorga da concessão, a que se refere o inciso II do </w:t>
      </w:r>
      <w:r w:rsidRPr="00FC3D75">
        <w:rPr>
          <w:b/>
          <w:szCs w:val="22"/>
        </w:rPr>
        <w:t>caput</w:t>
      </w:r>
      <w:r w:rsidRPr="00902E48">
        <w:rPr>
          <w:szCs w:val="22"/>
        </w:rPr>
        <w:t xml:space="preserve"> </w:t>
      </w:r>
      <w:r w:rsidR="00FC3D75">
        <w:rPr>
          <w:szCs w:val="22"/>
        </w:rPr>
        <w:t xml:space="preserve">do </w:t>
      </w:r>
      <w:r w:rsidRPr="00902E48">
        <w:rPr>
          <w:szCs w:val="22"/>
        </w:rPr>
        <w:t xml:space="preserve">art. 15 da Lei no 8.987, de 13 de fevereiro de 1995, será denominado, para fins da licitação de que trata o </w:t>
      </w:r>
      <w:r w:rsidRPr="00FC3D75">
        <w:rPr>
          <w:b/>
          <w:szCs w:val="22"/>
        </w:rPr>
        <w:t>caput</w:t>
      </w:r>
      <w:r w:rsidRPr="00902E48">
        <w:rPr>
          <w:szCs w:val="22"/>
        </w:rPr>
        <w:t>, bonificação pela outorga. </w:t>
      </w:r>
    </w:p>
    <w:p w:rsidR="00A31E2D" w:rsidRDefault="00A31E2D" w:rsidP="00A31E2D">
      <w:pPr>
        <w:pStyle w:val="07-Citaolegal-CLG"/>
        <w:rPr>
          <w:szCs w:val="22"/>
        </w:rPr>
      </w:pPr>
      <w:r w:rsidRPr="00902E48">
        <w:rPr>
          <w:szCs w:val="22"/>
        </w:rPr>
        <w:t>§ 8º A partir de data a ser estabelecida pelo Conselho Nacional de Política Energética - CNPE, a parcela da garantia física que não for destinada ao Ambiente de Contratação Regulada - ACR será de livre disposição do vencedor da licitação, não se aplicando a essa parcela o disposto no § 1º ao § 3º do art. 1º. </w:t>
      </w:r>
    </w:p>
    <w:p w:rsidR="00A31E2D" w:rsidRDefault="00A31E2D" w:rsidP="00A31E2D">
      <w:pPr>
        <w:pStyle w:val="07-Citaolegal-CLG"/>
        <w:rPr>
          <w:szCs w:val="22"/>
        </w:rPr>
      </w:pPr>
      <w:r w:rsidRPr="00902E48">
        <w:rPr>
          <w:szCs w:val="22"/>
        </w:rPr>
        <w:t>§ 9º Exclusivamente na parcela da garantia física destinada ao ACR, os riscos hidrológicos, considerado o Mecanismo de Realocação de Energia - MRE, serão assumidos pelas concessionárias e permissionárias de distribuição do SIN, com direito de repasse à tarifa do consumidor final. ” (NR) </w:t>
      </w:r>
    </w:p>
    <w:p w:rsidR="00A31E2D" w:rsidRDefault="00A31E2D" w:rsidP="00A31E2D">
      <w:pPr>
        <w:pStyle w:val="07-Citaolegal-CLG"/>
        <w:rPr>
          <w:szCs w:val="22"/>
        </w:rPr>
      </w:pPr>
      <w:r w:rsidRPr="00902E48">
        <w:rPr>
          <w:szCs w:val="22"/>
        </w:rPr>
        <w:t>“</w:t>
      </w:r>
      <w:r w:rsidRPr="00902E48">
        <w:rPr>
          <w:b/>
          <w:szCs w:val="22"/>
        </w:rPr>
        <w:t>Art. 15</w:t>
      </w:r>
      <w:r w:rsidRPr="00902E48">
        <w:rPr>
          <w:szCs w:val="22"/>
        </w:rPr>
        <w:t xml:space="preserve">. </w:t>
      </w:r>
      <w:r>
        <w:rPr>
          <w:szCs w:val="22"/>
        </w:rPr>
        <w:t>..................</w:t>
      </w:r>
      <w:r w:rsidRPr="00902E48">
        <w:rPr>
          <w:szCs w:val="22"/>
        </w:rPr>
        <w:t>......................................................................</w:t>
      </w:r>
    </w:p>
    <w:p w:rsidR="00A31E2D" w:rsidRDefault="00A31E2D" w:rsidP="00A31E2D">
      <w:pPr>
        <w:pStyle w:val="07-Citaolegal-CLG"/>
        <w:rPr>
          <w:szCs w:val="22"/>
        </w:rPr>
      </w:pPr>
      <w:r w:rsidRPr="00902E48">
        <w:rPr>
          <w:szCs w:val="22"/>
        </w:rPr>
        <w:t>..................................</w:t>
      </w:r>
      <w:r>
        <w:rPr>
          <w:szCs w:val="22"/>
        </w:rPr>
        <w:t>.........</w:t>
      </w:r>
      <w:r w:rsidRPr="00902E48">
        <w:rPr>
          <w:szCs w:val="22"/>
        </w:rPr>
        <w:t>........................................................... </w:t>
      </w:r>
    </w:p>
    <w:p w:rsidR="00A31E2D" w:rsidRDefault="00A31E2D" w:rsidP="00A31E2D">
      <w:pPr>
        <w:pStyle w:val="07-Citaolegal-CLG"/>
        <w:rPr>
          <w:szCs w:val="22"/>
        </w:rPr>
      </w:pPr>
      <w:r w:rsidRPr="00902E48">
        <w:rPr>
          <w:szCs w:val="22"/>
        </w:rPr>
        <w:t xml:space="preserve">§ 10. A tarifa ou receita de que trata o </w:t>
      </w:r>
      <w:r w:rsidRPr="00490264">
        <w:rPr>
          <w:b/>
          <w:szCs w:val="22"/>
        </w:rPr>
        <w:t>caput</w:t>
      </w:r>
      <w:r w:rsidRPr="00902E48">
        <w:rPr>
          <w:szCs w:val="22"/>
        </w:rPr>
        <w:t xml:space="preserve"> deverá considerar, quando couber, a parcela de retorno da bonificação pela outorga de que tratam os § 7º e § 10 do art. 8º, observada, para concessões de geração, a proporcionalidade da garantia física destinada ao ACR.” (NR</w:t>
      </w:r>
      <w:proofErr w:type="gramStart"/>
      <w:r w:rsidRPr="00902E48">
        <w:rPr>
          <w:szCs w:val="22"/>
        </w:rPr>
        <w:t>)</w:t>
      </w:r>
      <w:proofErr w:type="gramEnd"/>
      <w:r w:rsidRPr="00902E48">
        <w:rPr>
          <w:szCs w:val="22"/>
        </w:rPr>
        <w:t> </w:t>
      </w:r>
    </w:p>
    <w:p w:rsidR="002F378B" w:rsidRDefault="002F378B" w:rsidP="00A31E2D">
      <w:pPr>
        <w:spacing w:before="225" w:after="240"/>
        <w:ind w:firstLine="567"/>
        <w:jc w:val="center"/>
        <w:rPr>
          <w:color w:val="000000"/>
          <w:sz w:val="28"/>
          <w:szCs w:val="28"/>
        </w:rPr>
      </w:pPr>
      <w:bookmarkStart w:id="7" w:name="art4"/>
      <w:bookmarkStart w:id="8" w:name="art5"/>
      <w:bookmarkEnd w:id="7"/>
      <w:bookmarkEnd w:id="8"/>
    </w:p>
    <w:p w:rsidR="00A31E2D" w:rsidRPr="00B446B8" w:rsidRDefault="00A31E2D" w:rsidP="00A31E2D">
      <w:pPr>
        <w:spacing w:before="225" w:after="240"/>
        <w:ind w:firstLine="567"/>
        <w:jc w:val="center"/>
        <w:rPr>
          <w:color w:val="000000"/>
          <w:sz w:val="28"/>
          <w:szCs w:val="28"/>
        </w:rPr>
      </w:pPr>
      <w:r w:rsidRPr="00B446B8">
        <w:rPr>
          <w:color w:val="000000"/>
          <w:sz w:val="28"/>
          <w:szCs w:val="28"/>
        </w:rPr>
        <w:t>CAPÍTULO III</w:t>
      </w:r>
    </w:p>
    <w:p w:rsidR="00A31E2D" w:rsidRDefault="00A31E2D" w:rsidP="00A31E2D">
      <w:pPr>
        <w:spacing w:before="225" w:after="240"/>
        <w:ind w:firstLine="567"/>
        <w:jc w:val="center"/>
        <w:rPr>
          <w:color w:val="000000"/>
          <w:sz w:val="28"/>
          <w:szCs w:val="28"/>
        </w:rPr>
      </w:pPr>
      <w:r w:rsidRPr="00B446B8">
        <w:rPr>
          <w:color w:val="000000"/>
          <w:sz w:val="28"/>
          <w:szCs w:val="28"/>
        </w:rPr>
        <w:t>DISPOSIÇÕES FINAIS</w:t>
      </w:r>
    </w:p>
    <w:p w:rsidR="00BB5848" w:rsidRPr="00BB5848" w:rsidRDefault="00BB5848" w:rsidP="00BB5848">
      <w:pPr>
        <w:spacing w:after="240"/>
        <w:ind w:firstLine="1418"/>
        <w:jc w:val="both"/>
        <w:rPr>
          <w:sz w:val="28"/>
          <w:szCs w:val="28"/>
        </w:rPr>
      </w:pPr>
      <w:r w:rsidRPr="00BB5848">
        <w:rPr>
          <w:b/>
          <w:sz w:val="28"/>
          <w:szCs w:val="28"/>
        </w:rPr>
        <w:t>Art. 4º</w:t>
      </w:r>
      <w:r>
        <w:rPr>
          <w:sz w:val="28"/>
          <w:szCs w:val="28"/>
        </w:rPr>
        <w:t xml:space="preserve"> </w:t>
      </w:r>
      <w:r w:rsidRPr="00BB5848">
        <w:rPr>
          <w:sz w:val="28"/>
          <w:szCs w:val="28"/>
        </w:rPr>
        <w:t xml:space="preserve">No caso de atraso no início da operação comercial </w:t>
      </w:r>
      <w:r w:rsidR="00A22309">
        <w:rPr>
          <w:sz w:val="28"/>
          <w:szCs w:val="28"/>
        </w:rPr>
        <w:t xml:space="preserve">de geração ou de transmissão </w:t>
      </w:r>
      <w:r w:rsidRPr="00BB5848">
        <w:rPr>
          <w:sz w:val="28"/>
          <w:szCs w:val="28"/>
        </w:rPr>
        <w:t xml:space="preserve">decorrente de excludente de responsabilidade do empreendedor, </w:t>
      </w:r>
      <w:r w:rsidR="00A22309">
        <w:rPr>
          <w:sz w:val="28"/>
          <w:szCs w:val="28"/>
        </w:rPr>
        <w:t>re</w:t>
      </w:r>
      <w:r w:rsidR="00095011">
        <w:rPr>
          <w:sz w:val="28"/>
          <w:szCs w:val="28"/>
        </w:rPr>
        <w:t xml:space="preserve">conhecido pelo poder concedente, </w:t>
      </w:r>
      <w:r w:rsidRPr="00BB5848">
        <w:rPr>
          <w:sz w:val="28"/>
          <w:szCs w:val="28"/>
        </w:rPr>
        <w:t>o prazo da correspondente concessão ou autorização de geração</w:t>
      </w:r>
      <w:r>
        <w:rPr>
          <w:sz w:val="28"/>
          <w:szCs w:val="28"/>
        </w:rPr>
        <w:t xml:space="preserve"> ou transmissão</w:t>
      </w:r>
      <w:r w:rsidRPr="00BB5848">
        <w:rPr>
          <w:sz w:val="28"/>
          <w:szCs w:val="28"/>
        </w:rPr>
        <w:t xml:space="preserve"> de energia elétrica </w:t>
      </w:r>
      <w:r>
        <w:rPr>
          <w:sz w:val="28"/>
          <w:szCs w:val="28"/>
        </w:rPr>
        <w:t xml:space="preserve">outorgada </w:t>
      </w:r>
      <w:r w:rsidRPr="00BB5848">
        <w:rPr>
          <w:sz w:val="28"/>
          <w:szCs w:val="28"/>
        </w:rPr>
        <w:t xml:space="preserve">poderá </w:t>
      </w:r>
      <w:r>
        <w:rPr>
          <w:sz w:val="28"/>
          <w:szCs w:val="28"/>
        </w:rPr>
        <w:t>ser</w:t>
      </w:r>
      <w:r w:rsidR="00A22309">
        <w:rPr>
          <w:sz w:val="28"/>
          <w:szCs w:val="28"/>
        </w:rPr>
        <w:t xml:space="preserve"> </w:t>
      </w:r>
      <w:r w:rsidRPr="00BB5848">
        <w:rPr>
          <w:sz w:val="28"/>
          <w:szCs w:val="28"/>
        </w:rPr>
        <w:t>prorrogado pelo poder concedente</w:t>
      </w:r>
      <w:r w:rsidR="00095011">
        <w:rPr>
          <w:sz w:val="28"/>
          <w:szCs w:val="28"/>
        </w:rPr>
        <w:t>,</w:t>
      </w:r>
      <w:r w:rsidR="00A22309">
        <w:rPr>
          <w:sz w:val="28"/>
          <w:szCs w:val="28"/>
        </w:rPr>
        <w:t xml:space="preserve"> na forma da Lei</w:t>
      </w:r>
      <w:r w:rsidR="00095011">
        <w:rPr>
          <w:sz w:val="28"/>
          <w:szCs w:val="28"/>
        </w:rPr>
        <w:t>,</w:t>
      </w:r>
      <w:r w:rsidRPr="00BB5848">
        <w:rPr>
          <w:sz w:val="28"/>
          <w:szCs w:val="28"/>
        </w:rPr>
        <w:t xml:space="preserve"> pelo prazo reconhecido como excludente de responsabilidade.</w:t>
      </w:r>
    </w:p>
    <w:p w:rsidR="001C1775" w:rsidRPr="001E1A6C" w:rsidRDefault="001C1775" w:rsidP="00A31E2D">
      <w:pPr>
        <w:spacing w:after="240"/>
        <w:ind w:firstLine="1418"/>
        <w:jc w:val="both"/>
        <w:rPr>
          <w:b/>
          <w:sz w:val="28"/>
          <w:szCs w:val="28"/>
        </w:rPr>
      </w:pPr>
      <w:r w:rsidRPr="001E1A6C">
        <w:rPr>
          <w:b/>
          <w:sz w:val="28"/>
          <w:szCs w:val="28"/>
        </w:rPr>
        <w:t>Art. 5º</w:t>
      </w:r>
      <w:r w:rsidRPr="001E1A6C">
        <w:rPr>
          <w:sz w:val="28"/>
          <w:szCs w:val="28"/>
        </w:rPr>
        <w:t xml:space="preserve"> </w:t>
      </w:r>
      <w:r w:rsidR="001E1A6C" w:rsidRPr="001E1A6C">
        <w:rPr>
          <w:sz w:val="28"/>
          <w:szCs w:val="28"/>
        </w:rPr>
        <w:t>O Banco Nacional de Desenvolvimento Econômico e Social – BNDES, n</w:t>
      </w:r>
      <w:r w:rsidRPr="001E1A6C">
        <w:rPr>
          <w:sz w:val="28"/>
          <w:szCs w:val="28"/>
        </w:rPr>
        <w:t>a concessão de financiamentos</w:t>
      </w:r>
      <w:r w:rsidR="001E1A6C" w:rsidRPr="001E1A6C">
        <w:rPr>
          <w:sz w:val="28"/>
          <w:szCs w:val="28"/>
        </w:rPr>
        <w:t>, poderá</w:t>
      </w:r>
      <w:r w:rsidRPr="001E1A6C">
        <w:rPr>
          <w:sz w:val="28"/>
          <w:szCs w:val="28"/>
        </w:rPr>
        <w:t xml:space="preserve"> </w:t>
      </w:r>
      <w:r w:rsidR="001E1A6C" w:rsidRPr="001E1A6C">
        <w:rPr>
          <w:sz w:val="28"/>
          <w:szCs w:val="28"/>
        </w:rPr>
        <w:t xml:space="preserve">direcionar </w:t>
      </w:r>
      <w:r w:rsidRPr="001E1A6C">
        <w:rPr>
          <w:sz w:val="28"/>
          <w:szCs w:val="28"/>
        </w:rPr>
        <w:t>recursos</w:t>
      </w:r>
      <w:r w:rsidR="001E1A6C" w:rsidRPr="001E1A6C">
        <w:rPr>
          <w:sz w:val="28"/>
          <w:szCs w:val="28"/>
        </w:rPr>
        <w:t xml:space="preserve"> a taxas diferenciadas</w:t>
      </w:r>
      <w:r w:rsidRPr="001E1A6C">
        <w:rPr>
          <w:sz w:val="28"/>
          <w:szCs w:val="28"/>
        </w:rPr>
        <w:t xml:space="preserve"> para a instalação de sistemas de geração de energia elétrica a partir de fontes renováveis e para eficiência energética em </w:t>
      </w:r>
      <w:proofErr w:type="gramStart"/>
      <w:r w:rsidR="001E1A6C" w:rsidRPr="001E1A6C">
        <w:rPr>
          <w:sz w:val="28"/>
          <w:szCs w:val="28"/>
        </w:rPr>
        <w:t>hospitais</w:t>
      </w:r>
      <w:proofErr w:type="gramEnd"/>
      <w:r w:rsidR="001E1A6C" w:rsidRPr="001E1A6C">
        <w:rPr>
          <w:sz w:val="28"/>
          <w:szCs w:val="28"/>
        </w:rPr>
        <w:t xml:space="preserve"> e </w:t>
      </w:r>
      <w:r w:rsidRPr="001E1A6C">
        <w:rPr>
          <w:sz w:val="28"/>
          <w:szCs w:val="28"/>
        </w:rPr>
        <w:t xml:space="preserve">escolas </w:t>
      </w:r>
      <w:r w:rsidR="001E1A6C" w:rsidRPr="001E1A6C">
        <w:rPr>
          <w:sz w:val="28"/>
          <w:szCs w:val="28"/>
        </w:rPr>
        <w:t>públicos</w:t>
      </w:r>
      <w:r w:rsidRPr="001E1A6C">
        <w:rPr>
          <w:sz w:val="28"/>
          <w:szCs w:val="28"/>
        </w:rPr>
        <w:t>.</w:t>
      </w:r>
    </w:p>
    <w:p w:rsidR="00A31E2D" w:rsidRDefault="00A31E2D" w:rsidP="00A31E2D">
      <w:pPr>
        <w:spacing w:after="240"/>
        <w:ind w:firstLine="1418"/>
        <w:jc w:val="both"/>
        <w:rPr>
          <w:sz w:val="28"/>
          <w:szCs w:val="28"/>
        </w:rPr>
      </w:pPr>
      <w:r w:rsidRPr="00BB5848">
        <w:rPr>
          <w:b/>
          <w:sz w:val="28"/>
          <w:szCs w:val="28"/>
        </w:rPr>
        <w:t xml:space="preserve">Art. </w:t>
      </w:r>
      <w:r w:rsidR="001E1A6C">
        <w:rPr>
          <w:b/>
          <w:sz w:val="28"/>
          <w:szCs w:val="28"/>
        </w:rPr>
        <w:t>6</w:t>
      </w:r>
      <w:r w:rsidRPr="00BB5848">
        <w:rPr>
          <w:b/>
          <w:sz w:val="28"/>
          <w:szCs w:val="28"/>
        </w:rPr>
        <w:t>º</w:t>
      </w:r>
      <w:r w:rsidRPr="00B446B8">
        <w:rPr>
          <w:sz w:val="28"/>
          <w:szCs w:val="28"/>
        </w:rPr>
        <w:t xml:space="preserve"> A Lei n</w:t>
      </w:r>
      <w:r w:rsidRPr="00B446B8">
        <w:rPr>
          <w:color w:val="000000"/>
          <w:sz w:val="28"/>
          <w:szCs w:val="28"/>
          <w:u w:val="single"/>
          <w:vertAlign w:val="superscript"/>
        </w:rPr>
        <w:t>o</w:t>
      </w:r>
      <w:r w:rsidRPr="00B446B8">
        <w:rPr>
          <w:sz w:val="28"/>
          <w:szCs w:val="28"/>
        </w:rPr>
        <w:t xml:space="preserve"> 9.427, de 26 de dezembro de 1996, passa a vigorar com as seguintes alterações:</w:t>
      </w:r>
    </w:p>
    <w:p w:rsidR="00A31E2D" w:rsidRDefault="00A31E2D" w:rsidP="00A31E2D">
      <w:pPr>
        <w:pStyle w:val="07-Citaolegal-CLG"/>
        <w:rPr>
          <w:szCs w:val="22"/>
        </w:rPr>
      </w:pPr>
      <w:r w:rsidRPr="00481444">
        <w:rPr>
          <w:szCs w:val="22"/>
        </w:rPr>
        <w:t>“</w:t>
      </w:r>
      <w:r w:rsidRPr="00902E48">
        <w:rPr>
          <w:b/>
          <w:szCs w:val="22"/>
        </w:rPr>
        <w:t>Art.26</w:t>
      </w:r>
      <w:r w:rsidRPr="00481444">
        <w:rPr>
          <w:szCs w:val="22"/>
        </w:rPr>
        <w:t xml:space="preserve">. </w:t>
      </w:r>
      <w:r>
        <w:rPr>
          <w:szCs w:val="22"/>
        </w:rPr>
        <w:t xml:space="preserve"> </w:t>
      </w:r>
      <w:r w:rsidRPr="00481444">
        <w:rPr>
          <w:szCs w:val="22"/>
        </w:rPr>
        <w:t>........................................................................................</w:t>
      </w:r>
    </w:p>
    <w:p w:rsidR="00A31E2D" w:rsidRDefault="00A31E2D" w:rsidP="00A31E2D">
      <w:pPr>
        <w:pStyle w:val="07-Citaolegal-CLG"/>
        <w:rPr>
          <w:szCs w:val="22"/>
        </w:rPr>
      </w:pPr>
      <w:r w:rsidRPr="00481444">
        <w:rPr>
          <w:szCs w:val="22"/>
        </w:rPr>
        <w:t>.......................................................................................................</w:t>
      </w:r>
    </w:p>
    <w:p w:rsidR="00A31E2D" w:rsidRDefault="00A31E2D" w:rsidP="00A31E2D">
      <w:pPr>
        <w:pStyle w:val="07-Citaolegal-CLG"/>
        <w:rPr>
          <w:szCs w:val="22"/>
        </w:rPr>
      </w:pPr>
      <w:r w:rsidRPr="00481444">
        <w:rPr>
          <w:szCs w:val="22"/>
        </w:rPr>
        <w:t xml:space="preserve">§ 1º Para o aproveitamento referido no inciso I </w:t>
      </w:r>
      <w:r w:rsidR="00490264">
        <w:rPr>
          <w:szCs w:val="22"/>
        </w:rPr>
        <w:t xml:space="preserve">do </w:t>
      </w:r>
      <w:r w:rsidRPr="00490264">
        <w:rPr>
          <w:b/>
          <w:szCs w:val="22"/>
        </w:rPr>
        <w:t>caput</w:t>
      </w:r>
      <w:r w:rsidRPr="00481444">
        <w:rPr>
          <w:szCs w:val="22"/>
        </w:rPr>
        <w:t xml:space="preserve"> deste artigo, para os empreendimentos hidrelétricos com potência igual ou inferior a 3.000 </w:t>
      </w:r>
      <w:proofErr w:type="gramStart"/>
      <w:r w:rsidRPr="00481444">
        <w:rPr>
          <w:szCs w:val="22"/>
        </w:rPr>
        <w:t>kW</w:t>
      </w:r>
      <w:proofErr w:type="gramEnd"/>
      <w:r w:rsidRPr="00481444">
        <w:rPr>
          <w:szCs w:val="22"/>
        </w:rPr>
        <w:t xml:space="preserve"> (três mil quilowatts) e para aqueles com base em fontes solar, eólica, biomassa e cogeração qualificada, conforme regulamentação da ANEEL, cuja potência injetada nos sistemas de transmissão ou distribuição seja menor ou igual a 30.000 kW (trinta mil quilowatts), a A</w:t>
      </w:r>
      <w:r w:rsidR="0010381D">
        <w:rPr>
          <w:szCs w:val="22"/>
        </w:rPr>
        <w:t>NEEL</w:t>
      </w:r>
      <w:r w:rsidRPr="00481444">
        <w:rPr>
          <w:szCs w:val="22"/>
        </w:rPr>
        <w:t xml:space="preserve"> estipulará percentual de redução não inferior a 50% (cinquenta por cento) a ser aplicado às tarifas de uso dos sistemas elétricos de transmissão e de distribuição, incidindo na produção e no consumo da energia:</w:t>
      </w:r>
    </w:p>
    <w:p w:rsidR="00A31E2D" w:rsidRDefault="00A31E2D" w:rsidP="00A31E2D">
      <w:pPr>
        <w:pStyle w:val="07-Citaolegal-CLG"/>
        <w:rPr>
          <w:szCs w:val="22"/>
        </w:rPr>
      </w:pPr>
      <w:r w:rsidRPr="00481444">
        <w:rPr>
          <w:szCs w:val="22"/>
        </w:rPr>
        <w:t xml:space="preserve">I - comercializada pelos aproveitamentos; </w:t>
      </w:r>
      <w:proofErr w:type="gramStart"/>
      <w:r w:rsidRPr="00481444">
        <w:rPr>
          <w:szCs w:val="22"/>
        </w:rPr>
        <w:t>e</w:t>
      </w:r>
      <w:proofErr w:type="gramEnd"/>
    </w:p>
    <w:p w:rsidR="00A31E2D" w:rsidRDefault="00A31E2D" w:rsidP="00A31E2D">
      <w:pPr>
        <w:pStyle w:val="07-Citaolegal-CLG"/>
        <w:rPr>
          <w:szCs w:val="22"/>
        </w:rPr>
      </w:pPr>
      <w:r w:rsidRPr="00481444">
        <w:rPr>
          <w:szCs w:val="22"/>
        </w:rPr>
        <w:t>II - destinada à autoprodução, desde que proveniente de empreendimentos que entrarem em operação comercial a partir de 1º de janeiro de 2016.</w:t>
      </w:r>
    </w:p>
    <w:p w:rsidR="00A31E2D" w:rsidRDefault="00A31E2D" w:rsidP="00A31E2D">
      <w:pPr>
        <w:pStyle w:val="07-Citaolegal-CLG"/>
        <w:rPr>
          <w:szCs w:val="22"/>
        </w:rPr>
      </w:pPr>
      <w:r w:rsidRPr="00481444">
        <w:rPr>
          <w:szCs w:val="22"/>
        </w:rPr>
        <w:t>§ 1º-A Para empreendimentos com base em fontes solar, eólica, biomassa e, conforme regulamentação da ANEEL, cogeração qualificada, a ANEEL estipulará percentual de redução não inferior a 50% (cinquenta por cento) a ser aplicado às tarifas de uso dos sistemas elétricos de transmissão e de distribuição, incidindo na produção e no consumo da energia proveniente de tais empreendimentos, comercializada ou destinada à autoprodução, pelos aproveitamentos, desde que a potência injetada nos sistemas de transmissão ou distribuição seja maior que 30.000 kW (trinta mil quilowatts) e menor ou igual a 300.000 kW (trezentos mil quilowatts) e atendam quaisquer dos seguintes critérios:</w:t>
      </w:r>
    </w:p>
    <w:p w:rsidR="00A31E2D" w:rsidRDefault="00A31E2D" w:rsidP="00A31E2D">
      <w:pPr>
        <w:pStyle w:val="07-Citaolegal-CLG"/>
        <w:rPr>
          <w:szCs w:val="22"/>
        </w:rPr>
      </w:pPr>
      <w:r w:rsidRPr="00481444">
        <w:rPr>
          <w:szCs w:val="22"/>
        </w:rPr>
        <w:t xml:space="preserve">I - resultem de leilão de compra de energia realizado a partir de 1º de janeiro de 2016; </w:t>
      </w:r>
      <w:proofErr w:type="gramStart"/>
      <w:r w:rsidRPr="00481444">
        <w:rPr>
          <w:szCs w:val="22"/>
        </w:rPr>
        <w:t>ou</w:t>
      </w:r>
      <w:proofErr w:type="gramEnd"/>
    </w:p>
    <w:p w:rsidR="00A31E2D" w:rsidRDefault="00A31E2D" w:rsidP="00A31E2D">
      <w:pPr>
        <w:pStyle w:val="07-Citaolegal-CLG"/>
        <w:rPr>
          <w:szCs w:val="22"/>
        </w:rPr>
      </w:pPr>
      <w:r w:rsidRPr="00481444">
        <w:rPr>
          <w:szCs w:val="22"/>
        </w:rPr>
        <w:t xml:space="preserve">II - tenham sido autorizados a partir de 1º de janeiro de 2016. </w:t>
      </w:r>
    </w:p>
    <w:p w:rsidR="00A31E2D" w:rsidRDefault="00A31E2D" w:rsidP="00A31E2D">
      <w:pPr>
        <w:pStyle w:val="07-Citaolegal-CLG"/>
        <w:rPr>
          <w:szCs w:val="22"/>
        </w:rPr>
      </w:pPr>
      <w:r w:rsidRPr="00481444">
        <w:rPr>
          <w:szCs w:val="22"/>
        </w:rPr>
        <w:t>.......................................................................................................</w:t>
      </w:r>
    </w:p>
    <w:p w:rsidR="00A31E2D" w:rsidRDefault="00A31E2D" w:rsidP="00A31E2D">
      <w:pPr>
        <w:pStyle w:val="07-Citaolegal-CLG"/>
        <w:rPr>
          <w:szCs w:val="22"/>
        </w:rPr>
      </w:pPr>
      <w:r w:rsidRPr="00481444">
        <w:rPr>
          <w:szCs w:val="22"/>
        </w:rPr>
        <w:t xml:space="preserve">§ 10. </w:t>
      </w:r>
      <w:proofErr w:type="gramStart"/>
      <w:r w:rsidRPr="00481444">
        <w:rPr>
          <w:szCs w:val="22"/>
        </w:rPr>
        <w:t>Os empreendimentos de geração de energia elétrica que forem objeto de autorização terão prazo de outorga de até 30 (trinta) anos, prorrogáveis por igual período, a critério do Poder Concedente.”</w:t>
      </w:r>
      <w:proofErr w:type="gramEnd"/>
      <w:r w:rsidRPr="00481444">
        <w:rPr>
          <w:szCs w:val="22"/>
        </w:rPr>
        <w:t xml:space="preserve"> (NR)</w:t>
      </w:r>
    </w:p>
    <w:p w:rsidR="00A31E2D" w:rsidRDefault="00A31E2D" w:rsidP="00A31E2D">
      <w:pPr>
        <w:pStyle w:val="NormalWeb"/>
        <w:spacing w:before="225" w:beforeAutospacing="0" w:after="240" w:afterAutospacing="0"/>
        <w:ind w:firstLine="1418"/>
        <w:jc w:val="both"/>
        <w:rPr>
          <w:sz w:val="28"/>
          <w:szCs w:val="28"/>
        </w:rPr>
      </w:pPr>
      <w:r w:rsidRPr="00902E48">
        <w:rPr>
          <w:b/>
          <w:color w:val="000000"/>
          <w:sz w:val="28"/>
          <w:szCs w:val="28"/>
        </w:rPr>
        <w:t xml:space="preserve">Art. </w:t>
      </w:r>
      <w:r w:rsidR="001E1A6C">
        <w:rPr>
          <w:b/>
          <w:color w:val="000000"/>
          <w:sz w:val="28"/>
          <w:szCs w:val="28"/>
        </w:rPr>
        <w:t>7</w:t>
      </w:r>
      <w:r w:rsidRPr="00902E48">
        <w:rPr>
          <w:b/>
          <w:color w:val="000000"/>
          <w:sz w:val="28"/>
          <w:szCs w:val="28"/>
        </w:rPr>
        <w:t>º</w:t>
      </w:r>
      <w:r w:rsidRPr="00B446B8">
        <w:rPr>
          <w:color w:val="000000"/>
          <w:sz w:val="28"/>
          <w:szCs w:val="28"/>
        </w:rPr>
        <w:t xml:space="preserve"> A Lei n</w:t>
      </w:r>
      <w:r w:rsidRPr="00B446B8">
        <w:rPr>
          <w:color w:val="000000"/>
          <w:sz w:val="28"/>
          <w:szCs w:val="28"/>
          <w:u w:val="single"/>
          <w:vertAlign w:val="superscript"/>
        </w:rPr>
        <w:t>o</w:t>
      </w:r>
      <w:r w:rsidRPr="00B446B8">
        <w:rPr>
          <w:color w:val="000000"/>
          <w:sz w:val="28"/>
          <w:szCs w:val="28"/>
        </w:rPr>
        <w:t xml:space="preserve"> 9.478, de </w:t>
      </w:r>
      <w:proofErr w:type="gramStart"/>
      <w:r w:rsidRPr="00B446B8">
        <w:rPr>
          <w:color w:val="000000"/>
          <w:sz w:val="28"/>
          <w:szCs w:val="28"/>
        </w:rPr>
        <w:t>6</w:t>
      </w:r>
      <w:proofErr w:type="gramEnd"/>
      <w:r w:rsidRPr="00B446B8">
        <w:rPr>
          <w:color w:val="000000"/>
          <w:sz w:val="28"/>
          <w:szCs w:val="28"/>
        </w:rPr>
        <w:t xml:space="preserve"> de agosto de 1997, passa a vigorar com as seguintes alterações: </w:t>
      </w:r>
    </w:p>
    <w:p w:rsidR="00A31E2D" w:rsidRDefault="00A31E2D" w:rsidP="00A31E2D">
      <w:pPr>
        <w:pStyle w:val="07-Citaolegal-CLG"/>
        <w:rPr>
          <w:szCs w:val="22"/>
        </w:rPr>
      </w:pPr>
      <w:r w:rsidRPr="00902E48">
        <w:rPr>
          <w:szCs w:val="22"/>
        </w:rPr>
        <w:t>“</w:t>
      </w:r>
      <w:r w:rsidRPr="00902E48">
        <w:rPr>
          <w:b/>
          <w:szCs w:val="22"/>
        </w:rPr>
        <w:t>Art. 2º</w:t>
      </w:r>
      <w:r w:rsidRPr="00902E48">
        <w:rPr>
          <w:szCs w:val="22"/>
        </w:rPr>
        <w:t xml:space="preserve"> .</w:t>
      </w:r>
      <w:r>
        <w:rPr>
          <w:szCs w:val="22"/>
        </w:rPr>
        <w:t>...........</w:t>
      </w:r>
      <w:r w:rsidRPr="00902E48">
        <w:rPr>
          <w:szCs w:val="22"/>
        </w:rPr>
        <w:t>.............................................................................</w:t>
      </w:r>
    </w:p>
    <w:p w:rsidR="00A31E2D" w:rsidRDefault="00A31E2D" w:rsidP="00A31E2D">
      <w:pPr>
        <w:pStyle w:val="07-Citaolegal-CLG"/>
        <w:rPr>
          <w:szCs w:val="22"/>
        </w:rPr>
      </w:pPr>
      <w:r w:rsidRPr="00902E48">
        <w:rPr>
          <w:szCs w:val="22"/>
        </w:rPr>
        <w:t>..........................</w:t>
      </w:r>
      <w:r>
        <w:rPr>
          <w:szCs w:val="22"/>
        </w:rPr>
        <w:t>..........</w:t>
      </w:r>
      <w:r w:rsidRPr="00902E48">
        <w:rPr>
          <w:szCs w:val="22"/>
        </w:rPr>
        <w:t>...................................................................</w:t>
      </w:r>
    </w:p>
    <w:p w:rsidR="00A31E2D" w:rsidRDefault="00A31E2D" w:rsidP="00A31E2D">
      <w:pPr>
        <w:pStyle w:val="07-Citaolegal-CLG"/>
        <w:rPr>
          <w:szCs w:val="22"/>
        </w:rPr>
      </w:pPr>
      <w:r w:rsidRPr="00902E48">
        <w:rPr>
          <w:szCs w:val="22"/>
        </w:rPr>
        <w:t>XI - .............................</w:t>
      </w:r>
      <w:r>
        <w:rPr>
          <w:szCs w:val="22"/>
        </w:rPr>
        <w:t>..</w:t>
      </w:r>
      <w:r w:rsidRPr="00902E48">
        <w:rPr>
          <w:szCs w:val="22"/>
        </w:rPr>
        <w:t xml:space="preserve">................................................................; </w:t>
      </w:r>
    </w:p>
    <w:p w:rsidR="00A31E2D" w:rsidRDefault="00A31E2D" w:rsidP="00A31E2D">
      <w:pPr>
        <w:pStyle w:val="07-Citaolegal-CLG"/>
        <w:rPr>
          <w:szCs w:val="22"/>
        </w:rPr>
      </w:pPr>
      <w:r w:rsidRPr="00902E48">
        <w:rPr>
          <w:szCs w:val="22"/>
        </w:rPr>
        <w:t xml:space="preserve">XII - estabelecer os parâmetros técnicos e econômicos das licitações de concessões de geração, transmissão e distribuição de energia elétrica, de que trata o art. 8o da Lei nº 12.783, de 11 de janeiro de 2013; e </w:t>
      </w:r>
    </w:p>
    <w:p w:rsidR="00A31E2D" w:rsidRDefault="00A31E2D" w:rsidP="00A31E2D">
      <w:pPr>
        <w:pStyle w:val="07-Citaolegal-CLG"/>
        <w:rPr>
          <w:szCs w:val="22"/>
        </w:rPr>
      </w:pPr>
      <w:r w:rsidRPr="00BB7F69">
        <w:rPr>
          <w:szCs w:val="22"/>
        </w:rPr>
        <w:t>XIII - definir a estratégia e a política de desenvolvimento tecnológico do setor de energia elétrica</w:t>
      </w:r>
      <w:r w:rsidRPr="00902E48">
        <w:rPr>
          <w:szCs w:val="22"/>
        </w:rPr>
        <w:t>.</w:t>
      </w:r>
    </w:p>
    <w:p w:rsidR="00A31E2D" w:rsidRDefault="00A31E2D" w:rsidP="00A31E2D">
      <w:pPr>
        <w:pStyle w:val="07-Citaolegal-CLG"/>
        <w:rPr>
          <w:szCs w:val="22"/>
        </w:rPr>
      </w:pPr>
      <w:r w:rsidRPr="00BB7F69">
        <w:rPr>
          <w:szCs w:val="22"/>
        </w:rPr>
        <w:t>...........................................................................................” (NR)</w:t>
      </w:r>
    </w:p>
    <w:p w:rsidR="00A31E2D" w:rsidRDefault="00A31E2D" w:rsidP="00A31E2D">
      <w:pPr>
        <w:pStyle w:val="07-Citaolegal-CLG"/>
        <w:rPr>
          <w:szCs w:val="22"/>
        </w:rPr>
      </w:pPr>
      <w:r w:rsidRPr="00902E48">
        <w:rPr>
          <w:szCs w:val="22"/>
        </w:rPr>
        <w:t>“</w:t>
      </w:r>
      <w:r w:rsidRPr="00902E48">
        <w:rPr>
          <w:b/>
          <w:szCs w:val="22"/>
        </w:rPr>
        <w:t>Art. 2º-A</w:t>
      </w:r>
      <w:r w:rsidRPr="00902E48">
        <w:rPr>
          <w:szCs w:val="22"/>
        </w:rPr>
        <w:t xml:space="preserve"> Caberá ao Ministério de Minas e Energia, entre outras competências, propor ao CNPE os seguintes parâmetros técnicos e econômicos:</w:t>
      </w:r>
    </w:p>
    <w:p w:rsidR="00A31E2D" w:rsidRDefault="00A31E2D" w:rsidP="00A31E2D">
      <w:pPr>
        <w:pStyle w:val="07-Citaolegal-CLG"/>
        <w:rPr>
          <w:szCs w:val="22"/>
        </w:rPr>
      </w:pPr>
      <w:r w:rsidRPr="00902E48">
        <w:rPr>
          <w:szCs w:val="22"/>
        </w:rPr>
        <w:t xml:space="preserve">I - </w:t>
      </w:r>
      <w:r w:rsidR="007A4AEA" w:rsidRPr="007A4AEA">
        <w:rPr>
          <w:szCs w:val="22"/>
        </w:rPr>
        <w:t>valores de bonificação pela outorga das concessões a serem licitadas nos termos do art. 8</w:t>
      </w:r>
      <w:r w:rsidR="007A4AEA">
        <w:rPr>
          <w:szCs w:val="22"/>
        </w:rPr>
        <w:t>º</w:t>
      </w:r>
      <w:r w:rsidR="007A4AEA" w:rsidRPr="007A4AEA">
        <w:rPr>
          <w:szCs w:val="22"/>
        </w:rPr>
        <w:t xml:space="preserve"> da Lei n</w:t>
      </w:r>
      <w:r w:rsidR="007A4AEA">
        <w:rPr>
          <w:szCs w:val="22"/>
        </w:rPr>
        <w:t>º</w:t>
      </w:r>
      <w:r w:rsidR="007A4AEA" w:rsidRPr="007A4AEA">
        <w:rPr>
          <w:szCs w:val="22"/>
        </w:rPr>
        <w:t xml:space="preserve"> 12.783, de 11 de janeiro de 2013</w:t>
      </w:r>
      <w:r w:rsidRPr="00902E48">
        <w:rPr>
          <w:szCs w:val="22"/>
        </w:rPr>
        <w:t xml:space="preserve">; </w:t>
      </w:r>
    </w:p>
    <w:p w:rsidR="00A31E2D" w:rsidRDefault="00A31E2D" w:rsidP="00A31E2D">
      <w:pPr>
        <w:pStyle w:val="07-Citaolegal-CLG"/>
        <w:rPr>
          <w:szCs w:val="22"/>
        </w:rPr>
      </w:pPr>
      <w:r w:rsidRPr="00902E48">
        <w:rPr>
          <w:szCs w:val="22"/>
        </w:rPr>
        <w:t>II - prazo e forma de pagamento</w:t>
      </w:r>
      <w:r w:rsidR="007A4AEA">
        <w:rPr>
          <w:szCs w:val="22"/>
        </w:rPr>
        <w:t xml:space="preserve"> </w:t>
      </w:r>
      <w:r w:rsidR="007A4AEA" w:rsidRPr="007A4AEA">
        <w:rPr>
          <w:szCs w:val="22"/>
        </w:rPr>
        <w:t>da bonificação pela outorga de que trata o inciso I</w:t>
      </w:r>
      <w:r w:rsidRPr="00902E48">
        <w:rPr>
          <w:szCs w:val="22"/>
        </w:rPr>
        <w:t xml:space="preserve">; </w:t>
      </w:r>
      <w:proofErr w:type="gramStart"/>
      <w:r w:rsidRPr="00902E48">
        <w:rPr>
          <w:szCs w:val="22"/>
        </w:rPr>
        <w:t>e</w:t>
      </w:r>
      <w:proofErr w:type="gramEnd"/>
    </w:p>
    <w:p w:rsidR="00A31E2D" w:rsidRDefault="00A31E2D" w:rsidP="00A31E2D">
      <w:pPr>
        <w:pStyle w:val="07-Citaolegal-CLG"/>
        <w:rPr>
          <w:szCs w:val="22"/>
        </w:rPr>
      </w:pPr>
      <w:r w:rsidRPr="00902E48">
        <w:rPr>
          <w:szCs w:val="22"/>
        </w:rPr>
        <w:t>III - nas licitações de geração:</w:t>
      </w:r>
    </w:p>
    <w:p w:rsidR="00A31E2D" w:rsidRDefault="00A31E2D" w:rsidP="00A31E2D">
      <w:pPr>
        <w:pStyle w:val="07-Citaolegal-CLG"/>
        <w:rPr>
          <w:szCs w:val="22"/>
        </w:rPr>
      </w:pPr>
      <w:r w:rsidRPr="00902E48">
        <w:rPr>
          <w:szCs w:val="22"/>
        </w:rPr>
        <w:t>a) a parcela da garantia física destinada ao Ambiente de Contratação Regulada - ACR dos empreendimentos de geração licitados nos termos do art. 8º da Lei nº 12.783, de 11 de janeiro de 2013, observado o limite mínimo de setenta por cento destinado ao ACR, e o disposto no § 3º do art. 8º da Lei nº 12.783, de 11 de janeiro de 2013; e</w:t>
      </w:r>
    </w:p>
    <w:p w:rsidR="00A31E2D" w:rsidRDefault="00A31E2D" w:rsidP="00A31E2D">
      <w:pPr>
        <w:pStyle w:val="07-Citaolegal-CLG"/>
        <w:rPr>
          <w:szCs w:val="22"/>
        </w:rPr>
      </w:pPr>
      <w:r w:rsidRPr="00902E48">
        <w:rPr>
          <w:szCs w:val="22"/>
        </w:rPr>
        <w:t xml:space="preserve">b) a data de que trata o § 8º do art. 8º da Lei nº 12.783, de 11 de janeiro de 2013. </w:t>
      </w:r>
    </w:p>
    <w:p w:rsidR="00A31E2D" w:rsidRDefault="00A31E2D" w:rsidP="00A31E2D">
      <w:pPr>
        <w:pStyle w:val="07-Citaolegal-CLG"/>
        <w:rPr>
          <w:szCs w:val="22"/>
        </w:rPr>
      </w:pPr>
      <w:r w:rsidRPr="0083319C">
        <w:rPr>
          <w:i/>
          <w:szCs w:val="22"/>
        </w:rPr>
        <w:t>Parágrafo único</w:t>
      </w:r>
      <w:r w:rsidRPr="00902E48">
        <w:rPr>
          <w:szCs w:val="22"/>
        </w:rPr>
        <w:t xml:space="preserve">. Nos casos previstos nos incisos I e II do </w:t>
      </w:r>
      <w:r w:rsidRPr="00490264">
        <w:rPr>
          <w:b/>
          <w:szCs w:val="22"/>
        </w:rPr>
        <w:t>caput</w:t>
      </w:r>
      <w:r w:rsidRPr="00902E48">
        <w:rPr>
          <w:szCs w:val="22"/>
        </w:rPr>
        <w:t>, será ouvido o Ministério da Fazenda.</w:t>
      </w:r>
    </w:p>
    <w:p w:rsidR="00A31E2D" w:rsidRDefault="00A31E2D" w:rsidP="00A31E2D">
      <w:pPr>
        <w:pStyle w:val="07-Citaolegal-CLG"/>
        <w:rPr>
          <w:szCs w:val="22"/>
        </w:rPr>
      </w:pPr>
      <w:r w:rsidRPr="00902E48">
        <w:rPr>
          <w:b/>
          <w:szCs w:val="22"/>
        </w:rPr>
        <w:t>Art. 2º-B</w:t>
      </w:r>
      <w:r w:rsidRPr="00902E48">
        <w:rPr>
          <w:szCs w:val="22"/>
        </w:rPr>
        <w:t xml:space="preserve"> Caberá ao Ministério de Minas e Energia, entre outras competências, propor ao Conselho Nacional de Política Energética - CNPE, a política de desenvolvimento tecnológico do setor de energia elétrica.</w:t>
      </w:r>
    </w:p>
    <w:p w:rsidR="00A31E2D" w:rsidRDefault="00A31E2D" w:rsidP="00A31E2D">
      <w:pPr>
        <w:pStyle w:val="07-Citaolegal-CLG"/>
        <w:rPr>
          <w:szCs w:val="22"/>
        </w:rPr>
      </w:pPr>
      <w:r w:rsidRPr="0083319C">
        <w:rPr>
          <w:i/>
          <w:szCs w:val="22"/>
        </w:rPr>
        <w:t>Parágrafo único</w:t>
      </w:r>
      <w:r w:rsidRPr="00902E48">
        <w:rPr>
          <w:szCs w:val="22"/>
        </w:rPr>
        <w:t xml:space="preserve">. </w:t>
      </w:r>
      <w:proofErr w:type="gramStart"/>
      <w:r w:rsidRPr="00902E48">
        <w:rPr>
          <w:szCs w:val="22"/>
        </w:rPr>
        <w:t xml:space="preserve">Na proposição de que trata o </w:t>
      </w:r>
      <w:r w:rsidRPr="00490264">
        <w:rPr>
          <w:b/>
          <w:szCs w:val="22"/>
        </w:rPr>
        <w:t>caput</w:t>
      </w:r>
      <w:r w:rsidRPr="00902E48">
        <w:rPr>
          <w:szCs w:val="22"/>
        </w:rPr>
        <w:t xml:space="preserve"> será ouvido o Ministério da Ciência, Tecnologia e Inovação.”</w:t>
      </w:r>
      <w:proofErr w:type="gramEnd"/>
    </w:p>
    <w:p w:rsidR="00A31E2D" w:rsidRDefault="00A31E2D" w:rsidP="00A31E2D">
      <w:pPr>
        <w:spacing w:after="240"/>
        <w:ind w:firstLine="1418"/>
        <w:jc w:val="both"/>
        <w:rPr>
          <w:sz w:val="28"/>
          <w:szCs w:val="28"/>
        </w:rPr>
      </w:pPr>
      <w:r w:rsidRPr="00902E48">
        <w:rPr>
          <w:b/>
          <w:sz w:val="28"/>
          <w:szCs w:val="28"/>
        </w:rPr>
        <w:t xml:space="preserve">Art. </w:t>
      </w:r>
      <w:r w:rsidR="001E1A6C">
        <w:rPr>
          <w:b/>
          <w:sz w:val="28"/>
          <w:szCs w:val="28"/>
        </w:rPr>
        <w:t>8</w:t>
      </w:r>
      <w:r w:rsidRPr="00902E48">
        <w:rPr>
          <w:b/>
          <w:sz w:val="28"/>
          <w:szCs w:val="28"/>
        </w:rPr>
        <w:t>º</w:t>
      </w:r>
      <w:r w:rsidRPr="00B446B8">
        <w:rPr>
          <w:sz w:val="28"/>
          <w:szCs w:val="28"/>
        </w:rPr>
        <w:t xml:space="preserve"> A Lei n</w:t>
      </w:r>
      <w:r w:rsidRPr="00B446B8">
        <w:rPr>
          <w:color w:val="000000"/>
          <w:sz w:val="28"/>
          <w:szCs w:val="28"/>
          <w:u w:val="single"/>
          <w:vertAlign w:val="superscript"/>
        </w:rPr>
        <w:t>o</w:t>
      </w:r>
      <w:r w:rsidRPr="00B446B8">
        <w:rPr>
          <w:sz w:val="28"/>
          <w:szCs w:val="28"/>
        </w:rPr>
        <w:t xml:space="preserve"> 9.991, de 24 de julho de 2000, passa a vigorar com as seguintes alterações:</w:t>
      </w:r>
    </w:p>
    <w:p w:rsidR="00A31E2D" w:rsidRDefault="00A31E2D" w:rsidP="00A31E2D">
      <w:pPr>
        <w:pStyle w:val="07-Citaolegal-CLG"/>
        <w:rPr>
          <w:szCs w:val="22"/>
        </w:rPr>
      </w:pPr>
      <w:r w:rsidRPr="00902E48">
        <w:rPr>
          <w:szCs w:val="22"/>
        </w:rPr>
        <w:t>“</w:t>
      </w:r>
      <w:r w:rsidRPr="00902E48">
        <w:rPr>
          <w:b/>
          <w:szCs w:val="22"/>
        </w:rPr>
        <w:t>Art.</w:t>
      </w:r>
      <w:r w:rsidR="00BB5848">
        <w:rPr>
          <w:b/>
          <w:szCs w:val="22"/>
        </w:rPr>
        <w:t xml:space="preserve"> </w:t>
      </w:r>
      <w:r w:rsidRPr="00902E48">
        <w:rPr>
          <w:b/>
          <w:szCs w:val="22"/>
        </w:rPr>
        <w:t>1º</w:t>
      </w:r>
      <w:r w:rsidRPr="00BB7F69">
        <w:rPr>
          <w:szCs w:val="22"/>
        </w:rPr>
        <w:t xml:space="preserve"> ..........................................................</w:t>
      </w:r>
      <w:r w:rsidR="00BB5848">
        <w:rPr>
          <w:szCs w:val="22"/>
        </w:rPr>
        <w:t>...............................</w:t>
      </w:r>
    </w:p>
    <w:p w:rsidR="00A31E2D" w:rsidRDefault="00A31E2D" w:rsidP="00A31E2D">
      <w:pPr>
        <w:pStyle w:val="07-Citaolegal-CLG"/>
        <w:rPr>
          <w:szCs w:val="22"/>
        </w:rPr>
      </w:pPr>
      <w:r w:rsidRPr="00BB7F69">
        <w:rPr>
          <w:szCs w:val="22"/>
        </w:rPr>
        <w:t>.......................................................................................................</w:t>
      </w:r>
    </w:p>
    <w:p w:rsidR="00A31E2D" w:rsidRDefault="00A31E2D" w:rsidP="00A31E2D">
      <w:pPr>
        <w:pStyle w:val="07-Citaolegal-CLG"/>
        <w:rPr>
          <w:szCs w:val="22"/>
        </w:rPr>
      </w:pPr>
      <w:r w:rsidRPr="00BB7F69">
        <w:rPr>
          <w:szCs w:val="22"/>
        </w:rPr>
        <w:t xml:space="preserve">I – até 31 de dezembro de 2022, os percentuais mínimos definidos no </w:t>
      </w:r>
      <w:r w:rsidRPr="00490264">
        <w:rPr>
          <w:b/>
          <w:szCs w:val="22"/>
        </w:rPr>
        <w:t>caput</w:t>
      </w:r>
      <w:r w:rsidRPr="00BB7F69">
        <w:rPr>
          <w:szCs w:val="22"/>
        </w:rPr>
        <w:t xml:space="preserve"> deste artigo serão de 0,50% (cinquenta centésimos por cento), tanto para pesquisa e desenvolvimento como para programas de eficiência energética na oferta e no uso final da energia;</w:t>
      </w:r>
    </w:p>
    <w:p w:rsidR="00A31E2D" w:rsidRDefault="00A31E2D" w:rsidP="00A31E2D">
      <w:pPr>
        <w:pStyle w:val="07-Citaolegal-CLG"/>
        <w:rPr>
          <w:szCs w:val="22"/>
        </w:rPr>
      </w:pPr>
      <w:r w:rsidRPr="00902E48">
        <w:rPr>
          <w:szCs w:val="22"/>
        </w:rPr>
        <w:t>.......................................................................................................</w:t>
      </w:r>
    </w:p>
    <w:p w:rsidR="00A31E2D" w:rsidRDefault="00A31E2D" w:rsidP="00A31E2D">
      <w:pPr>
        <w:pStyle w:val="07-Citaolegal-CLG"/>
        <w:rPr>
          <w:szCs w:val="22"/>
        </w:rPr>
      </w:pPr>
      <w:r w:rsidRPr="00902E48">
        <w:rPr>
          <w:szCs w:val="22"/>
        </w:rPr>
        <w:t xml:space="preserve">III – a partir de 1º de janeiro de 2023, para as concessionárias e permissionárias cuja energia vendida seja inferior a 1.000 (mil) </w:t>
      </w:r>
      <w:proofErr w:type="spellStart"/>
      <w:r w:rsidRPr="00902E48">
        <w:rPr>
          <w:szCs w:val="22"/>
        </w:rPr>
        <w:t>GWh</w:t>
      </w:r>
      <w:proofErr w:type="spellEnd"/>
      <w:r w:rsidRPr="00902E48">
        <w:rPr>
          <w:szCs w:val="22"/>
        </w:rPr>
        <w:t xml:space="preserve"> por ano, o percentual mínimo a ser aplicado em programas de eficiência energética no uso final poderá ser ampliado de 0,25% (vinte e cinco centésimos por cento) para até 0,50% (cinquenta centésimos por cento);</w:t>
      </w:r>
    </w:p>
    <w:p w:rsidR="00A31E2D" w:rsidRDefault="00A31E2D" w:rsidP="00A31E2D">
      <w:pPr>
        <w:pStyle w:val="07-Citaolegal-CLG"/>
        <w:rPr>
          <w:szCs w:val="22"/>
        </w:rPr>
      </w:pPr>
      <w:proofErr w:type="gramStart"/>
      <w:r w:rsidRPr="00902E48">
        <w:rPr>
          <w:szCs w:val="22"/>
        </w:rPr>
        <w:t>....................................................................</w:t>
      </w:r>
      <w:r w:rsidR="001C1775">
        <w:rPr>
          <w:szCs w:val="22"/>
        </w:rPr>
        <w:t>.......................</w:t>
      </w:r>
      <w:proofErr w:type="gramEnd"/>
      <w:r w:rsidRPr="00BB7F69">
        <w:rPr>
          <w:szCs w:val="22"/>
        </w:rPr>
        <w:t xml:space="preserve">” (NR) </w:t>
      </w:r>
    </w:p>
    <w:p w:rsidR="00A31E2D" w:rsidRDefault="00A31E2D" w:rsidP="00A31E2D">
      <w:pPr>
        <w:pStyle w:val="07-Citaolegal-CLG"/>
        <w:rPr>
          <w:szCs w:val="22"/>
        </w:rPr>
      </w:pPr>
      <w:r w:rsidRPr="00902E48">
        <w:rPr>
          <w:szCs w:val="22"/>
        </w:rPr>
        <w:t>“</w:t>
      </w:r>
      <w:r w:rsidRPr="00902E48">
        <w:rPr>
          <w:b/>
          <w:szCs w:val="22"/>
        </w:rPr>
        <w:t>Art. 4º</w:t>
      </w:r>
      <w:r>
        <w:rPr>
          <w:szCs w:val="22"/>
        </w:rPr>
        <w:t xml:space="preserve"> </w:t>
      </w:r>
      <w:r w:rsidRPr="00902E48">
        <w:rPr>
          <w:szCs w:val="22"/>
        </w:rPr>
        <w:t>........................................................................................</w:t>
      </w:r>
    </w:p>
    <w:p w:rsidR="00A31E2D" w:rsidRDefault="00A31E2D" w:rsidP="00A31E2D">
      <w:pPr>
        <w:pStyle w:val="07-Citaolegal-CLG"/>
        <w:rPr>
          <w:szCs w:val="22"/>
        </w:rPr>
      </w:pPr>
      <w:r w:rsidRPr="00902E48">
        <w:rPr>
          <w:szCs w:val="22"/>
        </w:rPr>
        <w:t>.......................................................................................................</w:t>
      </w:r>
    </w:p>
    <w:p w:rsidR="00A31E2D" w:rsidRDefault="00A31E2D" w:rsidP="00A31E2D">
      <w:pPr>
        <w:pStyle w:val="07-Citaolegal-CLG"/>
        <w:rPr>
          <w:szCs w:val="22"/>
        </w:rPr>
      </w:pPr>
      <w:r w:rsidRPr="00902E48">
        <w:rPr>
          <w:szCs w:val="22"/>
        </w:rPr>
        <w:t xml:space="preserve">§ 3º As empresas vinculadas ao Ministério de Minas e Energia associadas do Centro de Pesquisas de Energia Elétrica - CEPEL poderão aplicar, alternativamente a investimentos em projetos nos termos do inciso II, percentual, de sua opção, dos recursos de que trata o referido inciso, no atendimento de sua obrigação estatutária de aporte de contribuições institucionais para suporte e desenvolvimento do CEPEL, não se aplicando, nesta hipótese, o disposto no art. 5º, inciso II. </w:t>
      </w:r>
    </w:p>
    <w:p w:rsidR="00A31E2D" w:rsidRDefault="00A31E2D" w:rsidP="00A31E2D">
      <w:pPr>
        <w:pStyle w:val="07-Citaolegal-CLG"/>
        <w:rPr>
          <w:szCs w:val="22"/>
        </w:rPr>
      </w:pPr>
      <w:r w:rsidRPr="00902E48">
        <w:rPr>
          <w:szCs w:val="22"/>
        </w:rPr>
        <w:t xml:space="preserve">§ </w:t>
      </w:r>
      <w:proofErr w:type="gramStart"/>
      <w:r w:rsidRPr="00902E48">
        <w:rPr>
          <w:szCs w:val="22"/>
        </w:rPr>
        <w:t>4º Nos programas e projetos de pesquisa e inovação tecnológica do setor de energia elétrica, deverá ser priorizada a obtenção de resultados de aplicação prática, com foco na criação e aperfeiçoamento de produtos, processos, metodologias e técnicas.”</w:t>
      </w:r>
      <w:proofErr w:type="gramEnd"/>
      <w:r w:rsidRPr="00902E48">
        <w:rPr>
          <w:szCs w:val="22"/>
        </w:rPr>
        <w:t xml:space="preserve"> (NR)</w:t>
      </w:r>
    </w:p>
    <w:p w:rsidR="00A31E2D" w:rsidRDefault="00A31E2D" w:rsidP="00A31E2D">
      <w:pPr>
        <w:pStyle w:val="07-Citaolegal-CLG"/>
        <w:rPr>
          <w:szCs w:val="22"/>
        </w:rPr>
      </w:pPr>
      <w:r w:rsidRPr="00BB7F69">
        <w:rPr>
          <w:szCs w:val="22"/>
        </w:rPr>
        <w:t>“</w:t>
      </w:r>
      <w:r w:rsidRPr="00902E48">
        <w:rPr>
          <w:b/>
          <w:szCs w:val="22"/>
        </w:rPr>
        <w:t>Art. 5º</w:t>
      </w:r>
      <w:r>
        <w:rPr>
          <w:b/>
          <w:szCs w:val="22"/>
        </w:rPr>
        <w:t xml:space="preserve"> </w:t>
      </w:r>
      <w:r w:rsidRPr="00BB7F69">
        <w:rPr>
          <w:szCs w:val="22"/>
        </w:rPr>
        <w:t>.........................................................................................</w:t>
      </w:r>
    </w:p>
    <w:p w:rsidR="00A31E2D" w:rsidRDefault="00A31E2D" w:rsidP="00A31E2D">
      <w:pPr>
        <w:pStyle w:val="07-Citaolegal-CLG"/>
        <w:rPr>
          <w:szCs w:val="22"/>
        </w:rPr>
      </w:pPr>
      <w:r w:rsidRPr="00BB7F69">
        <w:rPr>
          <w:szCs w:val="22"/>
        </w:rPr>
        <w:t>.......................................................................................................</w:t>
      </w:r>
    </w:p>
    <w:p w:rsidR="00A31E2D" w:rsidRDefault="00A31E2D" w:rsidP="00A31E2D">
      <w:pPr>
        <w:pStyle w:val="07-Citaolegal-CLG"/>
        <w:rPr>
          <w:szCs w:val="22"/>
        </w:rPr>
      </w:pPr>
      <w:r w:rsidRPr="0083319C">
        <w:rPr>
          <w:i/>
          <w:szCs w:val="22"/>
        </w:rPr>
        <w:t>Parágrafo único</w:t>
      </w:r>
      <w:r w:rsidRPr="00BB7F69">
        <w:rPr>
          <w:szCs w:val="22"/>
        </w:rPr>
        <w:t xml:space="preserve">. Os investimentos em eficiência </w:t>
      </w:r>
      <w:proofErr w:type="gramStart"/>
      <w:r w:rsidRPr="00BB7F69">
        <w:rPr>
          <w:szCs w:val="22"/>
        </w:rPr>
        <w:t>energética previstos</w:t>
      </w:r>
      <w:proofErr w:type="gramEnd"/>
      <w:r w:rsidRPr="00BB7F69">
        <w:rPr>
          <w:szCs w:val="22"/>
        </w:rPr>
        <w:t xml:space="preserve"> no art. 1º desta Lei deverão priorizar iniciativas e produtos da indústria nacional, conforme regulamentação a ser definida pela ANEEL.” (NR) </w:t>
      </w:r>
    </w:p>
    <w:p w:rsidR="00D874EF" w:rsidRDefault="00D874EF" w:rsidP="00D874EF">
      <w:pPr>
        <w:spacing w:before="225" w:after="240"/>
        <w:ind w:firstLine="1418"/>
        <w:jc w:val="both"/>
        <w:rPr>
          <w:sz w:val="28"/>
          <w:szCs w:val="28"/>
        </w:rPr>
      </w:pPr>
      <w:r w:rsidRPr="00902E48">
        <w:rPr>
          <w:b/>
          <w:sz w:val="28"/>
          <w:szCs w:val="28"/>
        </w:rPr>
        <w:t xml:space="preserve">Art. </w:t>
      </w:r>
      <w:r>
        <w:rPr>
          <w:b/>
          <w:sz w:val="28"/>
          <w:szCs w:val="28"/>
        </w:rPr>
        <w:t>9</w:t>
      </w:r>
      <w:r w:rsidRPr="00902E48">
        <w:rPr>
          <w:b/>
          <w:sz w:val="28"/>
          <w:szCs w:val="28"/>
        </w:rPr>
        <w:t>º</w:t>
      </w:r>
      <w:r w:rsidRPr="00B446B8">
        <w:rPr>
          <w:sz w:val="28"/>
          <w:szCs w:val="28"/>
        </w:rPr>
        <w:t xml:space="preserve"> A Lei n</w:t>
      </w:r>
      <w:r>
        <w:rPr>
          <w:sz w:val="28"/>
          <w:szCs w:val="28"/>
        </w:rPr>
        <w:t>º</w:t>
      </w:r>
      <w:r w:rsidRPr="00B446B8">
        <w:rPr>
          <w:sz w:val="28"/>
          <w:szCs w:val="28"/>
        </w:rPr>
        <w:t xml:space="preserve"> 10.</w:t>
      </w:r>
      <w:r>
        <w:rPr>
          <w:sz w:val="28"/>
          <w:szCs w:val="28"/>
        </w:rPr>
        <w:t>438</w:t>
      </w:r>
      <w:r w:rsidRPr="00B446B8">
        <w:rPr>
          <w:sz w:val="28"/>
          <w:szCs w:val="28"/>
        </w:rPr>
        <w:t xml:space="preserve">, de </w:t>
      </w:r>
      <w:r>
        <w:rPr>
          <w:sz w:val="28"/>
          <w:szCs w:val="28"/>
        </w:rPr>
        <w:t>26 de abril</w:t>
      </w:r>
      <w:r w:rsidRPr="00B446B8">
        <w:rPr>
          <w:sz w:val="28"/>
          <w:szCs w:val="28"/>
        </w:rPr>
        <w:t xml:space="preserve"> 2004, passa a vigorar com as seguintes alterações: </w:t>
      </w:r>
    </w:p>
    <w:p w:rsidR="00D874EF" w:rsidRPr="00D874EF" w:rsidRDefault="00D874EF" w:rsidP="00D874EF">
      <w:pPr>
        <w:pStyle w:val="07-Citaolegal-CLG"/>
        <w:rPr>
          <w:szCs w:val="22"/>
        </w:rPr>
      </w:pPr>
      <w:r w:rsidRPr="00D874EF">
        <w:rPr>
          <w:szCs w:val="22"/>
        </w:rPr>
        <w:t>“</w:t>
      </w:r>
      <w:r w:rsidRPr="00D874EF">
        <w:rPr>
          <w:b/>
          <w:szCs w:val="22"/>
        </w:rPr>
        <w:t>Art.25</w:t>
      </w:r>
      <w:proofErr w:type="gramStart"/>
      <w:r>
        <w:rPr>
          <w:szCs w:val="22"/>
        </w:rPr>
        <w:t>.</w:t>
      </w:r>
      <w:r w:rsidRPr="00D874EF">
        <w:rPr>
          <w:szCs w:val="22"/>
        </w:rPr>
        <w:t>................................................................................</w:t>
      </w:r>
      <w:proofErr w:type="gramEnd"/>
    </w:p>
    <w:p w:rsidR="00D874EF" w:rsidRPr="00D874EF" w:rsidRDefault="00D874EF" w:rsidP="00D874EF">
      <w:pPr>
        <w:pStyle w:val="07-Citaolegal-CLG"/>
        <w:rPr>
          <w:szCs w:val="22"/>
        </w:rPr>
      </w:pPr>
      <w:proofErr w:type="gramStart"/>
      <w:r w:rsidRPr="00D874EF">
        <w:rPr>
          <w:szCs w:val="22"/>
        </w:rPr>
        <w:t>............................................................................................</w:t>
      </w:r>
      <w:proofErr w:type="gramEnd"/>
      <w:r w:rsidRPr="00D874EF">
        <w:rPr>
          <w:szCs w:val="22"/>
        </w:rPr>
        <w:t xml:space="preserve"> </w:t>
      </w:r>
    </w:p>
    <w:p w:rsidR="00D874EF" w:rsidRPr="00A22309" w:rsidRDefault="00D874EF" w:rsidP="00A22309">
      <w:pPr>
        <w:pStyle w:val="07-Citaolegal-CLG"/>
        <w:rPr>
          <w:i/>
          <w:szCs w:val="22"/>
        </w:rPr>
      </w:pPr>
      <w:r w:rsidRPr="00D874EF">
        <w:rPr>
          <w:szCs w:val="22"/>
        </w:rPr>
        <w:t xml:space="preserve">§ </w:t>
      </w:r>
      <w:proofErr w:type="gramStart"/>
      <w:r w:rsidR="00A22309" w:rsidRPr="00D874EF">
        <w:rPr>
          <w:szCs w:val="22"/>
        </w:rPr>
        <w:t xml:space="preserve">3º Nas bandeiras tarifárias homologadas pela ANEEL deverão incidir os descontos especiais previstos no </w:t>
      </w:r>
      <w:r w:rsidR="00A22309" w:rsidRPr="00A22309">
        <w:rPr>
          <w:b/>
          <w:szCs w:val="22"/>
        </w:rPr>
        <w:t>caput</w:t>
      </w:r>
      <w:r w:rsidR="00A22309" w:rsidRPr="00D874EF">
        <w:rPr>
          <w:szCs w:val="22"/>
        </w:rPr>
        <w:t>.”</w:t>
      </w:r>
      <w:proofErr w:type="gramEnd"/>
      <w:r w:rsidRPr="00D874EF">
        <w:rPr>
          <w:szCs w:val="22"/>
        </w:rPr>
        <w:t xml:space="preserve"> (NR)</w:t>
      </w:r>
    </w:p>
    <w:p w:rsidR="00A31E2D" w:rsidRDefault="00A31E2D" w:rsidP="00A31E2D">
      <w:pPr>
        <w:spacing w:before="225" w:after="240"/>
        <w:ind w:firstLine="1418"/>
        <w:jc w:val="both"/>
        <w:rPr>
          <w:sz w:val="28"/>
          <w:szCs w:val="28"/>
        </w:rPr>
      </w:pPr>
      <w:r w:rsidRPr="00902E48">
        <w:rPr>
          <w:b/>
          <w:sz w:val="28"/>
          <w:szCs w:val="28"/>
        </w:rPr>
        <w:t xml:space="preserve">Art. </w:t>
      </w:r>
      <w:r w:rsidR="00681B55">
        <w:rPr>
          <w:b/>
          <w:sz w:val="28"/>
          <w:szCs w:val="28"/>
        </w:rPr>
        <w:t>10.</w:t>
      </w:r>
      <w:r w:rsidRPr="00B446B8">
        <w:rPr>
          <w:sz w:val="28"/>
          <w:szCs w:val="28"/>
        </w:rPr>
        <w:t xml:space="preserve"> A Lei n</w:t>
      </w:r>
      <w:r>
        <w:rPr>
          <w:sz w:val="28"/>
          <w:szCs w:val="28"/>
        </w:rPr>
        <w:t>º</w:t>
      </w:r>
      <w:r w:rsidRPr="00B446B8">
        <w:rPr>
          <w:sz w:val="28"/>
          <w:szCs w:val="28"/>
        </w:rPr>
        <w:t xml:space="preserve"> 10.848, de 15 de março de 2004, passa a vigorar com as seguintes alterações: </w:t>
      </w:r>
    </w:p>
    <w:p w:rsidR="00A31E2D" w:rsidRDefault="00A31E2D" w:rsidP="00A31E2D">
      <w:pPr>
        <w:pStyle w:val="07-Citaolegal-CLG"/>
        <w:rPr>
          <w:szCs w:val="22"/>
        </w:rPr>
      </w:pPr>
      <w:r w:rsidRPr="00BB7F69">
        <w:rPr>
          <w:szCs w:val="22"/>
        </w:rPr>
        <w:t>“</w:t>
      </w:r>
      <w:r w:rsidRPr="00902E48">
        <w:rPr>
          <w:b/>
          <w:szCs w:val="22"/>
        </w:rPr>
        <w:t>Art. 2º</w:t>
      </w:r>
      <w:r w:rsidRPr="00BB7F69">
        <w:rPr>
          <w:szCs w:val="22"/>
        </w:rPr>
        <w:t xml:space="preserve"> .</w:t>
      </w:r>
      <w:r>
        <w:rPr>
          <w:szCs w:val="22"/>
        </w:rPr>
        <w:t>.................</w:t>
      </w:r>
      <w:r w:rsidRPr="00BB7F69">
        <w:rPr>
          <w:szCs w:val="22"/>
        </w:rPr>
        <w:t>.......................................................................</w:t>
      </w:r>
    </w:p>
    <w:p w:rsidR="00A31E2D" w:rsidRDefault="00A31E2D" w:rsidP="00A31E2D">
      <w:pPr>
        <w:pStyle w:val="07-Citaolegal-CLG"/>
        <w:rPr>
          <w:szCs w:val="22"/>
        </w:rPr>
      </w:pPr>
      <w:r w:rsidRPr="00BB7F69">
        <w:rPr>
          <w:szCs w:val="22"/>
        </w:rPr>
        <w:t>................................</w:t>
      </w:r>
      <w:r>
        <w:rPr>
          <w:szCs w:val="22"/>
        </w:rPr>
        <w:t>.........</w:t>
      </w:r>
      <w:r w:rsidRPr="00BB7F69">
        <w:rPr>
          <w:szCs w:val="22"/>
        </w:rPr>
        <w:t>............................................................. </w:t>
      </w:r>
    </w:p>
    <w:p w:rsidR="00A31E2D" w:rsidRDefault="00A31E2D" w:rsidP="00A31E2D">
      <w:pPr>
        <w:pStyle w:val="07-Citaolegal-CLG"/>
        <w:rPr>
          <w:szCs w:val="22"/>
        </w:rPr>
      </w:pPr>
      <w:r w:rsidRPr="00BB7F69">
        <w:rPr>
          <w:szCs w:val="22"/>
        </w:rPr>
        <w:t>§ 1º Na contratação regulada, a critério do Ministério de Minas e Energia, os riscos hidrológicos serão assumidos, total ou parcialmente, pelos geradores ou pelos compradores, com direito de repasse às tarifas dos consumidores finais, conforme as seguintes modalidades contratuais:</w:t>
      </w:r>
    </w:p>
    <w:p w:rsidR="00A31E2D" w:rsidRDefault="00A31E2D" w:rsidP="00A31E2D">
      <w:pPr>
        <w:pStyle w:val="07-Citaolegal-CLG"/>
        <w:rPr>
          <w:szCs w:val="22"/>
        </w:rPr>
      </w:pPr>
      <w:r w:rsidRPr="00902E48">
        <w:rPr>
          <w:szCs w:val="22"/>
        </w:rPr>
        <w:t>I - Contratos de Quantidade de Energia; e</w:t>
      </w:r>
    </w:p>
    <w:p w:rsidR="00A31E2D" w:rsidRDefault="00A31E2D" w:rsidP="00A31E2D">
      <w:pPr>
        <w:pStyle w:val="07-Citaolegal-CLG"/>
        <w:rPr>
          <w:szCs w:val="22"/>
        </w:rPr>
      </w:pPr>
      <w:r w:rsidRPr="00902E48">
        <w:rPr>
          <w:szCs w:val="22"/>
        </w:rPr>
        <w:t>II - Contratos de Disponibilidade de Energia.</w:t>
      </w:r>
    </w:p>
    <w:p w:rsidR="00A31E2D" w:rsidRDefault="00A31E2D" w:rsidP="00A31E2D">
      <w:pPr>
        <w:pStyle w:val="07-Citaolegal-CLG"/>
        <w:rPr>
          <w:szCs w:val="22"/>
        </w:rPr>
      </w:pPr>
      <w:r w:rsidRPr="00902E48">
        <w:rPr>
          <w:szCs w:val="22"/>
        </w:rPr>
        <w:t>.....................................................................................</w:t>
      </w:r>
      <w:r>
        <w:rPr>
          <w:szCs w:val="22"/>
        </w:rPr>
        <w:t>..........</w:t>
      </w:r>
      <w:r w:rsidRPr="00BB7F69">
        <w:rPr>
          <w:szCs w:val="22"/>
        </w:rPr>
        <w:t>........</w:t>
      </w:r>
    </w:p>
    <w:p w:rsidR="00A31E2D" w:rsidRPr="002573AA" w:rsidRDefault="00A31E2D" w:rsidP="00A31E2D">
      <w:pPr>
        <w:pStyle w:val="07-Citaolegal-CLG"/>
        <w:rPr>
          <w:szCs w:val="22"/>
        </w:rPr>
      </w:pPr>
      <w:r w:rsidRPr="00BB7F69">
        <w:rPr>
          <w:szCs w:val="22"/>
        </w:rPr>
        <w:t>§ 7º</w:t>
      </w:r>
      <w:r w:rsidR="00AC4CC9">
        <w:rPr>
          <w:szCs w:val="22"/>
        </w:rPr>
        <w:t>-A</w:t>
      </w:r>
      <w:r w:rsidRPr="00BB7F69">
        <w:rPr>
          <w:szCs w:val="22"/>
        </w:rPr>
        <w:t xml:space="preserve"> Poderão participar das licitações, para expansão da oferta de energia, os empreendimentos de geração que tenham obtido outorga de concessão </w:t>
      </w:r>
      <w:r w:rsidRPr="00902E48">
        <w:rPr>
          <w:szCs w:val="22"/>
        </w:rPr>
        <w:t xml:space="preserve">licitada nos termos desta Lei ou de autorização, </w:t>
      </w:r>
      <w:r w:rsidRPr="002573AA">
        <w:rPr>
          <w:szCs w:val="22"/>
        </w:rPr>
        <w:t xml:space="preserve">desde que atendam </w:t>
      </w:r>
      <w:r w:rsidR="00274260" w:rsidRPr="002573AA">
        <w:rPr>
          <w:szCs w:val="22"/>
        </w:rPr>
        <w:t>a</w:t>
      </w:r>
      <w:r w:rsidRPr="002573AA">
        <w:rPr>
          <w:szCs w:val="22"/>
        </w:rPr>
        <w:t>os seguintes requisitos: </w:t>
      </w:r>
    </w:p>
    <w:p w:rsidR="00EB6BB1" w:rsidRPr="002573AA" w:rsidRDefault="00EB6BB1" w:rsidP="00A31E2D">
      <w:pPr>
        <w:pStyle w:val="07-Citaolegal-CLG"/>
        <w:rPr>
          <w:szCs w:val="22"/>
        </w:rPr>
      </w:pPr>
      <w:r w:rsidRPr="002573AA">
        <w:rPr>
          <w:szCs w:val="22"/>
        </w:rPr>
        <w:t xml:space="preserve">I - não tenham entrado em operação comercial em até um ano antes da data de realização da licitação; </w:t>
      </w:r>
      <w:proofErr w:type="gramStart"/>
      <w:r w:rsidRPr="002573AA">
        <w:rPr>
          <w:szCs w:val="22"/>
        </w:rPr>
        <w:t>ou</w:t>
      </w:r>
      <w:proofErr w:type="gramEnd"/>
    </w:p>
    <w:p w:rsidR="00A31E2D" w:rsidRDefault="00A31E2D" w:rsidP="00A31E2D">
      <w:pPr>
        <w:pStyle w:val="07-Citaolegal-CLG"/>
        <w:rPr>
          <w:szCs w:val="22"/>
        </w:rPr>
      </w:pPr>
      <w:proofErr w:type="gramStart"/>
      <w:r w:rsidRPr="002573AA">
        <w:rPr>
          <w:szCs w:val="22"/>
        </w:rPr>
        <w:t>.......................................................................................................</w:t>
      </w:r>
      <w:proofErr w:type="gramEnd"/>
    </w:p>
    <w:p w:rsidR="00A31E2D" w:rsidRDefault="00A31E2D" w:rsidP="00A31E2D">
      <w:pPr>
        <w:pStyle w:val="07-Citaolegal-CLG"/>
        <w:rPr>
          <w:szCs w:val="22"/>
        </w:rPr>
      </w:pPr>
      <w:r w:rsidRPr="00BB7F69">
        <w:rPr>
          <w:szCs w:val="22"/>
        </w:rPr>
        <w:t>§ 7º</w:t>
      </w:r>
      <w:r w:rsidR="00AC4CC9">
        <w:rPr>
          <w:szCs w:val="22"/>
        </w:rPr>
        <w:t>-B</w:t>
      </w:r>
      <w:r w:rsidRPr="00BB7F69">
        <w:rPr>
          <w:szCs w:val="22"/>
        </w:rPr>
        <w:t xml:space="preserve"> O preço máximo de contratação da energia proveniente dos empreendimentos de geração de que trata o § 7º</w:t>
      </w:r>
      <w:r w:rsidRPr="00902E48">
        <w:rPr>
          <w:szCs w:val="22"/>
        </w:rPr>
        <w:t>-A, licitados nos termos desta Lei, não poderá superar o preço médio por fonte resultante dos leilões de que tratam os incisos II e III do § 5º e o § 1º do art. 3º-A, excetuando-se, no cálculo do preço médio, os leilões para contratação de energia proveniente de projetos de geração de que trata o inciso VI do art. 2º da Lei nº 9.478, de 6 de agosto de 1997.</w:t>
      </w:r>
    </w:p>
    <w:p w:rsidR="00A31E2D" w:rsidRDefault="00A31E2D" w:rsidP="00A31E2D">
      <w:pPr>
        <w:pStyle w:val="07-Citaolegal-CLG"/>
        <w:rPr>
          <w:szCs w:val="22"/>
        </w:rPr>
      </w:pPr>
      <w:r w:rsidRPr="00902E48">
        <w:rPr>
          <w:szCs w:val="22"/>
        </w:rPr>
        <w:t>§ 8º ..............................................................................</w:t>
      </w:r>
      <w:r>
        <w:rPr>
          <w:szCs w:val="22"/>
        </w:rPr>
        <w:t>.................</w:t>
      </w:r>
    </w:p>
    <w:p w:rsidR="00A31E2D" w:rsidRDefault="00A31E2D" w:rsidP="00A31E2D">
      <w:pPr>
        <w:pStyle w:val="07-Citaolegal-CLG"/>
        <w:rPr>
          <w:szCs w:val="22"/>
        </w:rPr>
      </w:pPr>
      <w:r w:rsidRPr="00BB7F69">
        <w:rPr>
          <w:szCs w:val="22"/>
        </w:rPr>
        <w:t>.............................................................................................</w:t>
      </w:r>
      <w:r>
        <w:rPr>
          <w:szCs w:val="22"/>
        </w:rPr>
        <w:t>.........</w:t>
      </w:r>
    </w:p>
    <w:p w:rsidR="00A31E2D" w:rsidRDefault="00A31E2D" w:rsidP="00A31E2D">
      <w:pPr>
        <w:pStyle w:val="07-Citaolegal-CLG"/>
        <w:rPr>
          <w:szCs w:val="22"/>
        </w:rPr>
      </w:pPr>
      <w:r w:rsidRPr="00BB7F69">
        <w:rPr>
          <w:szCs w:val="22"/>
        </w:rPr>
        <w:t>II - ................................................................................</w:t>
      </w:r>
      <w:r>
        <w:rPr>
          <w:szCs w:val="22"/>
        </w:rPr>
        <w:t>................</w:t>
      </w:r>
    </w:p>
    <w:p w:rsidR="00A31E2D" w:rsidRDefault="00A31E2D" w:rsidP="00A31E2D">
      <w:pPr>
        <w:pStyle w:val="07-Citaolegal-CLG"/>
        <w:rPr>
          <w:szCs w:val="22"/>
        </w:rPr>
      </w:pPr>
      <w:r w:rsidRPr="00BB7F69">
        <w:rPr>
          <w:szCs w:val="22"/>
        </w:rPr>
        <w:t>.............................................................................................</w:t>
      </w:r>
      <w:r>
        <w:rPr>
          <w:szCs w:val="22"/>
        </w:rPr>
        <w:t>.......</w:t>
      </w:r>
    </w:p>
    <w:p w:rsidR="00A31E2D" w:rsidRDefault="00A31E2D" w:rsidP="00A31E2D">
      <w:pPr>
        <w:pStyle w:val="07-Citaolegal-CLG"/>
        <w:rPr>
          <w:szCs w:val="22"/>
        </w:rPr>
      </w:pPr>
      <w:r w:rsidRPr="00BB7F69">
        <w:rPr>
          <w:szCs w:val="22"/>
        </w:rPr>
        <w:t>f) energia contratada nos termos do art. 1º da Medida Provisória nº 688, de 18 de agosto de 2015.</w:t>
      </w:r>
    </w:p>
    <w:p w:rsidR="00A31E2D" w:rsidRDefault="00A31E2D" w:rsidP="00A31E2D">
      <w:pPr>
        <w:pStyle w:val="07-Citaolegal-CLG"/>
        <w:rPr>
          <w:szCs w:val="22"/>
        </w:rPr>
      </w:pPr>
      <w:r w:rsidRPr="00BB7F69">
        <w:rPr>
          <w:szCs w:val="22"/>
        </w:rPr>
        <w:t>..................................................................................</w:t>
      </w:r>
      <w:r>
        <w:rPr>
          <w:szCs w:val="22"/>
        </w:rPr>
        <w:t>..........</w:t>
      </w:r>
      <w:r w:rsidRPr="00BB7F69">
        <w:rPr>
          <w:szCs w:val="22"/>
        </w:rPr>
        <w:t>” (NR)</w:t>
      </w:r>
    </w:p>
    <w:p w:rsidR="00A31E2D" w:rsidRDefault="00A31E2D" w:rsidP="00A31E2D">
      <w:pPr>
        <w:pStyle w:val="07-Citaolegal-CLG"/>
        <w:rPr>
          <w:szCs w:val="22"/>
        </w:rPr>
      </w:pPr>
      <w:r w:rsidRPr="00BB7F69">
        <w:rPr>
          <w:szCs w:val="22"/>
        </w:rPr>
        <w:t>“</w:t>
      </w:r>
      <w:r w:rsidRPr="00902E48">
        <w:rPr>
          <w:b/>
          <w:szCs w:val="22"/>
        </w:rPr>
        <w:t>Art. 2º-B</w:t>
      </w:r>
      <w:r w:rsidRPr="00BB7F69">
        <w:rPr>
          <w:szCs w:val="22"/>
        </w:rPr>
        <w:t xml:space="preserve"> Na contratação de geração distribuída prevista no § 8º, inciso II, alínea “a”, a ANEEL autorizará o repasse integral dos custos de aquisição de energia elétrica pelos agentes de distribuição para a tarifa de seus consumidores finais, até o maior valor entre o Valor Anual de Referência - VR e o Valor Anual de Referência Específico - VRES.</w:t>
      </w:r>
    </w:p>
    <w:p w:rsidR="00A31E2D" w:rsidRDefault="00A31E2D" w:rsidP="00A31E2D">
      <w:pPr>
        <w:pStyle w:val="07-Citaolegal-CLG"/>
        <w:rPr>
          <w:szCs w:val="22"/>
        </w:rPr>
      </w:pPr>
      <w:r w:rsidRPr="00274260">
        <w:rPr>
          <w:i/>
          <w:szCs w:val="22"/>
        </w:rPr>
        <w:t>Parágrafo único</w:t>
      </w:r>
      <w:r w:rsidRPr="00BB7F69">
        <w:rPr>
          <w:szCs w:val="22"/>
        </w:rPr>
        <w:t>. O Valor Anual de Referência Específico - VRES será calculado pela Empresa de Pesquisa Energética - EPE, considerando condições técnicas e fonte da geração distribuída, e será aprovado pelo Ministério de Minas e Energia.</w:t>
      </w:r>
    </w:p>
    <w:p w:rsidR="00A31E2D" w:rsidRDefault="00A31E2D" w:rsidP="00A31E2D">
      <w:pPr>
        <w:pStyle w:val="07-Citaolegal-CLG"/>
        <w:rPr>
          <w:szCs w:val="22"/>
        </w:rPr>
      </w:pPr>
      <w:r w:rsidRPr="00902E48">
        <w:rPr>
          <w:b/>
          <w:szCs w:val="22"/>
        </w:rPr>
        <w:t>Art. 2º-C</w:t>
      </w:r>
      <w:r w:rsidRPr="00BB7F69">
        <w:rPr>
          <w:szCs w:val="22"/>
        </w:rPr>
        <w:t xml:space="preserve"> Os consumidores enquadrados no </w:t>
      </w:r>
      <w:proofErr w:type="spellStart"/>
      <w:r w:rsidRPr="00BB7F69">
        <w:rPr>
          <w:szCs w:val="22"/>
        </w:rPr>
        <w:t>arts</w:t>
      </w:r>
      <w:proofErr w:type="spellEnd"/>
      <w:r w:rsidRPr="00BB7F69">
        <w:rPr>
          <w:szCs w:val="22"/>
        </w:rPr>
        <w:t xml:space="preserve">. 15 e 16 da Lei no 9.074, de </w:t>
      </w:r>
      <w:proofErr w:type="gramStart"/>
      <w:r w:rsidRPr="00BB7F69">
        <w:rPr>
          <w:szCs w:val="22"/>
        </w:rPr>
        <w:t>7</w:t>
      </w:r>
      <w:proofErr w:type="gramEnd"/>
      <w:r w:rsidRPr="00BB7F69">
        <w:rPr>
          <w:szCs w:val="22"/>
        </w:rPr>
        <w:t xml:space="preserve"> de julho de 1995, com carga de no mínimo 20 MW, poderão participar nas licitações de que trata o art. 2º, conforme regulamento que deverá dispor sobre garantias e condições de qualificação econômico-financeiras dos compradores.</w:t>
      </w:r>
      <w:r w:rsidR="00BB5848">
        <w:rPr>
          <w:szCs w:val="22"/>
        </w:rPr>
        <w:t>”</w:t>
      </w:r>
      <w:r w:rsidRPr="00BB7F69">
        <w:rPr>
          <w:szCs w:val="22"/>
        </w:rPr>
        <w:t xml:space="preserve"> </w:t>
      </w:r>
    </w:p>
    <w:p w:rsidR="00A31E2D" w:rsidRDefault="00A31E2D" w:rsidP="00A31E2D">
      <w:pPr>
        <w:pStyle w:val="NormalWeb"/>
        <w:spacing w:before="225" w:beforeAutospacing="0" w:after="240" w:afterAutospacing="0"/>
        <w:ind w:firstLine="1418"/>
        <w:jc w:val="both"/>
        <w:rPr>
          <w:sz w:val="28"/>
          <w:szCs w:val="28"/>
        </w:rPr>
      </w:pPr>
      <w:r w:rsidRPr="00902E48">
        <w:rPr>
          <w:b/>
          <w:sz w:val="28"/>
          <w:szCs w:val="28"/>
        </w:rPr>
        <w:t xml:space="preserve">Art. </w:t>
      </w:r>
      <w:r w:rsidR="001E1A6C">
        <w:rPr>
          <w:b/>
          <w:sz w:val="28"/>
          <w:szCs w:val="28"/>
        </w:rPr>
        <w:t>1</w:t>
      </w:r>
      <w:r w:rsidR="00681B55">
        <w:rPr>
          <w:b/>
          <w:sz w:val="28"/>
          <w:szCs w:val="28"/>
        </w:rPr>
        <w:t>1</w:t>
      </w:r>
      <w:r w:rsidR="001E1A6C">
        <w:rPr>
          <w:b/>
          <w:sz w:val="28"/>
          <w:szCs w:val="28"/>
        </w:rPr>
        <w:t>.</w:t>
      </w:r>
      <w:r w:rsidRPr="00B446B8">
        <w:rPr>
          <w:b/>
          <w:sz w:val="28"/>
          <w:szCs w:val="28"/>
        </w:rPr>
        <w:t xml:space="preserve"> </w:t>
      </w:r>
      <w:r w:rsidRPr="00B446B8">
        <w:rPr>
          <w:sz w:val="28"/>
          <w:szCs w:val="28"/>
        </w:rPr>
        <w:t>A Lei n</w:t>
      </w:r>
      <w:r>
        <w:rPr>
          <w:sz w:val="28"/>
          <w:szCs w:val="28"/>
        </w:rPr>
        <w:t>º</w:t>
      </w:r>
      <w:r w:rsidRPr="00B446B8">
        <w:rPr>
          <w:sz w:val="28"/>
          <w:szCs w:val="28"/>
        </w:rPr>
        <w:t xml:space="preserve"> 11.488, de 15 de junho de 2007, passa a vigorar com as seguintes alterações:</w:t>
      </w:r>
    </w:p>
    <w:p w:rsidR="00A31E2D" w:rsidRDefault="00A31E2D" w:rsidP="00A31E2D">
      <w:pPr>
        <w:pStyle w:val="07-Citaolegal-CLG"/>
        <w:rPr>
          <w:szCs w:val="22"/>
        </w:rPr>
      </w:pPr>
      <w:r w:rsidRPr="00902E48">
        <w:rPr>
          <w:szCs w:val="22"/>
        </w:rPr>
        <w:t>“</w:t>
      </w:r>
      <w:r w:rsidRPr="00902E48">
        <w:rPr>
          <w:b/>
          <w:szCs w:val="22"/>
        </w:rPr>
        <w:t>Art. 26</w:t>
      </w:r>
      <w:r w:rsidRPr="00BB7F69">
        <w:rPr>
          <w:szCs w:val="22"/>
        </w:rPr>
        <w:t xml:space="preserve"> ................................................................................</w:t>
      </w:r>
      <w:r>
        <w:rPr>
          <w:szCs w:val="22"/>
        </w:rPr>
        <w:t>........</w:t>
      </w:r>
    </w:p>
    <w:p w:rsidR="00A31E2D" w:rsidRDefault="00A31E2D" w:rsidP="00A31E2D">
      <w:pPr>
        <w:pStyle w:val="07-Citaolegal-CLG"/>
        <w:rPr>
          <w:szCs w:val="22"/>
        </w:rPr>
      </w:pPr>
      <w:r w:rsidRPr="00BB7F69">
        <w:rPr>
          <w:szCs w:val="22"/>
        </w:rPr>
        <w:t>............................................................................................</w:t>
      </w:r>
      <w:r>
        <w:rPr>
          <w:szCs w:val="22"/>
        </w:rPr>
        <w:t>...........</w:t>
      </w:r>
    </w:p>
    <w:p w:rsidR="00A31E2D" w:rsidRDefault="00A31E2D" w:rsidP="00A31E2D">
      <w:pPr>
        <w:pStyle w:val="07-Citaolegal-CLG"/>
        <w:rPr>
          <w:szCs w:val="22"/>
        </w:rPr>
      </w:pPr>
      <w:r w:rsidRPr="00BB7F69">
        <w:rPr>
          <w:szCs w:val="22"/>
        </w:rPr>
        <w:t>§ 4º A participação no empreendimento de que trata o § 1º será calculada como o menor valor entre:</w:t>
      </w:r>
    </w:p>
    <w:p w:rsidR="00A31E2D" w:rsidRDefault="00A31E2D" w:rsidP="00A31E2D">
      <w:pPr>
        <w:pStyle w:val="07-Citaolegal-CLG"/>
        <w:rPr>
          <w:szCs w:val="22"/>
        </w:rPr>
      </w:pPr>
      <w:r w:rsidRPr="00BB7F69">
        <w:rPr>
          <w:szCs w:val="22"/>
        </w:rPr>
        <w:t>I - a proporção da</w:t>
      </w:r>
      <w:r w:rsidRPr="00902E48">
        <w:rPr>
          <w:szCs w:val="22"/>
        </w:rPr>
        <w:t xml:space="preserve">s ações com direito a voto detidas pelos </w:t>
      </w:r>
      <w:proofErr w:type="gramStart"/>
      <w:r w:rsidRPr="00902E48">
        <w:rPr>
          <w:szCs w:val="22"/>
        </w:rPr>
        <w:t>acionistas da sociedade de propósito específico outorgada</w:t>
      </w:r>
      <w:proofErr w:type="gramEnd"/>
      <w:r w:rsidRPr="00902E48">
        <w:rPr>
          <w:szCs w:val="22"/>
        </w:rPr>
        <w:t>; e</w:t>
      </w:r>
    </w:p>
    <w:p w:rsidR="00A31E2D" w:rsidRDefault="00A31E2D" w:rsidP="00A31E2D">
      <w:pPr>
        <w:pStyle w:val="07-Citaolegal-CLG"/>
        <w:rPr>
          <w:szCs w:val="22"/>
        </w:rPr>
      </w:pPr>
      <w:proofErr w:type="gramStart"/>
      <w:r w:rsidRPr="00902E48">
        <w:rPr>
          <w:szCs w:val="22"/>
        </w:rPr>
        <w:t>II - o produto da proporção das ações com direito a voto detidas pelos acionistas da sociedade diretamente participante da sociedade de propósito específico outorgada pela proporção estabelecida no inciso I.”</w:t>
      </w:r>
      <w:proofErr w:type="gramEnd"/>
      <w:r w:rsidRPr="00902E48">
        <w:rPr>
          <w:szCs w:val="22"/>
        </w:rPr>
        <w:t xml:space="preserve"> (NR)</w:t>
      </w:r>
    </w:p>
    <w:p w:rsidR="00A31E2D" w:rsidRDefault="00A31E2D" w:rsidP="00A31E2D">
      <w:pPr>
        <w:pStyle w:val="NormalWeb"/>
        <w:spacing w:before="225" w:beforeAutospacing="0" w:after="240" w:afterAutospacing="0"/>
        <w:ind w:firstLine="1418"/>
        <w:jc w:val="both"/>
        <w:rPr>
          <w:sz w:val="28"/>
          <w:szCs w:val="28"/>
        </w:rPr>
      </w:pPr>
      <w:r w:rsidRPr="00902E48">
        <w:rPr>
          <w:b/>
          <w:color w:val="000000"/>
          <w:sz w:val="28"/>
          <w:szCs w:val="28"/>
        </w:rPr>
        <w:t xml:space="preserve">Art. </w:t>
      </w:r>
      <w:r w:rsidR="008575D2">
        <w:rPr>
          <w:b/>
          <w:color w:val="000000"/>
          <w:sz w:val="28"/>
          <w:szCs w:val="28"/>
        </w:rPr>
        <w:t>1</w:t>
      </w:r>
      <w:r w:rsidR="00681B55">
        <w:rPr>
          <w:b/>
          <w:color w:val="000000"/>
          <w:sz w:val="28"/>
          <w:szCs w:val="28"/>
        </w:rPr>
        <w:t>2</w:t>
      </w:r>
      <w:r w:rsidR="008575D2">
        <w:rPr>
          <w:b/>
          <w:color w:val="000000"/>
          <w:sz w:val="28"/>
          <w:szCs w:val="28"/>
        </w:rPr>
        <w:t>.</w:t>
      </w:r>
      <w:r w:rsidRPr="00B446B8">
        <w:rPr>
          <w:color w:val="000000"/>
          <w:sz w:val="28"/>
          <w:szCs w:val="28"/>
        </w:rPr>
        <w:t xml:space="preserve"> </w:t>
      </w:r>
      <w:r w:rsidRPr="00B446B8">
        <w:rPr>
          <w:sz w:val="28"/>
          <w:szCs w:val="28"/>
        </w:rPr>
        <w:t>Esta Lei entra em vigor na data de sua publicação.</w:t>
      </w:r>
    </w:p>
    <w:p w:rsidR="00A31E2D" w:rsidRDefault="00A31E2D" w:rsidP="00A31E2D">
      <w:pPr>
        <w:pStyle w:val="10-Local-CLG"/>
        <w:spacing w:after="240"/>
        <w:rPr>
          <w:szCs w:val="28"/>
        </w:rPr>
      </w:pPr>
      <w:r w:rsidRPr="00B446B8">
        <w:rPr>
          <w:szCs w:val="28"/>
        </w:rPr>
        <w:t>Sala da Comissão,</w:t>
      </w:r>
    </w:p>
    <w:p w:rsidR="002573AA" w:rsidRPr="00B446B8" w:rsidRDefault="002573AA" w:rsidP="00A31E2D">
      <w:pPr>
        <w:pStyle w:val="10-Local-CLG"/>
        <w:spacing w:after="240"/>
        <w:rPr>
          <w:szCs w:val="28"/>
        </w:rPr>
      </w:pPr>
    </w:p>
    <w:p w:rsidR="00A31E2D" w:rsidRDefault="00A31E2D" w:rsidP="00A31E2D">
      <w:pPr>
        <w:pStyle w:val="11-Assinaturas-CLG"/>
        <w:spacing w:after="240"/>
        <w:rPr>
          <w:szCs w:val="28"/>
        </w:rPr>
      </w:pPr>
      <w:r w:rsidRPr="00B446B8">
        <w:rPr>
          <w:szCs w:val="28"/>
        </w:rPr>
        <w:t>, Presidente</w:t>
      </w:r>
    </w:p>
    <w:p w:rsidR="002573AA" w:rsidRPr="00B446B8" w:rsidRDefault="002573AA" w:rsidP="00A31E2D">
      <w:pPr>
        <w:pStyle w:val="11-Assinaturas-CLG"/>
        <w:spacing w:after="240"/>
        <w:rPr>
          <w:szCs w:val="28"/>
        </w:rPr>
      </w:pPr>
    </w:p>
    <w:p w:rsidR="004829EA" w:rsidRPr="001E1A6C" w:rsidRDefault="00A31E2D" w:rsidP="001E1A6C">
      <w:pPr>
        <w:pStyle w:val="11-Assinaturas-CLG"/>
        <w:spacing w:after="240"/>
        <w:rPr>
          <w:szCs w:val="28"/>
        </w:rPr>
      </w:pPr>
      <w:r w:rsidRPr="00B446B8">
        <w:rPr>
          <w:szCs w:val="28"/>
        </w:rPr>
        <w:t>, Relator</w:t>
      </w:r>
      <w:r w:rsidR="004829EA" w:rsidRPr="001E1A6C">
        <w:rPr>
          <w:szCs w:val="28"/>
        </w:rPr>
        <w:t xml:space="preserve"> </w:t>
      </w:r>
    </w:p>
    <w:p w:rsidR="00DC43DB" w:rsidRPr="00B446B8" w:rsidRDefault="00DC43DB" w:rsidP="008575D2">
      <w:pPr>
        <w:pStyle w:val="11-Assinaturas-CLG"/>
        <w:spacing w:after="240"/>
        <w:rPr>
          <w:szCs w:val="28"/>
        </w:rPr>
      </w:pPr>
    </w:p>
    <w:sectPr w:rsidR="00DC43DB" w:rsidRPr="00B446B8" w:rsidSect="00FA1FD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D72" w:rsidRDefault="00591D72">
      <w:r>
        <w:separator/>
      </w:r>
    </w:p>
  </w:endnote>
  <w:endnote w:type="continuationSeparator" w:id="0">
    <w:p w:rsidR="00591D72" w:rsidRDefault="00591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09" w:rsidRDefault="00A22309" w:rsidP="006C298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2309" w:rsidRDefault="00A22309" w:rsidP="006C29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09" w:rsidRDefault="00A22309" w:rsidP="006C298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F378B"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A22309" w:rsidRPr="00395EC7" w:rsidRDefault="00A22309" w:rsidP="006C298F">
    <w:pPr>
      <w:pStyle w:val="Rodap"/>
      <w:ind w:right="360"/>
      <w:rPr>
        <w:i/>
        <w:sz w:val="18"/>
        <w:szCs w:val="18"/>
      </w:rPr>
    </w:pPr>
    <w:proofErr w:type="gramStart"/>
    <w:r>
      <w:rPr>
        <w:i/>
        <w:sz w:val="18"/>
        <w:szCs w:val="18"/>
      </w:rPr>
      <w:t>em</w:t>
    </w:r>
    <w:proofErr w:type="gramEnd"/>
    <w:r>
      <w:rPr>
        <w:i/>
        <w:sz w:val="18"/>
        <w:szCs w:val="18"/>
      </w:rPr>
      <w:t>-ia-rx</w:t>
    </w:r>
    <w:r w:rsidRPr="00395EC7">
      <w:rPr>
        <w:i/>
        <w:sz w:val="18"/>
        <w:szCs w:val="18"/>
      </w:rPr>
      <w:t>-201</w:t>
    </w:r>
    <w:r>
      <w:rPr>
        <w:i/>
        <w:sz w:val="18"/>
        <w:szCs w:val="18"/>
      </w:rPr>
      <w:t>5-09825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D72" w:rsidRDefault="00591D72">
      <w:r>
        <w:separator/>
      </w:r>
    </w:p>
  </w:footnote>
  <w:footnote w:type="continuationSeparator" w:id="0">
    <w:p w:rsidR="00591D72" w:rsidRDefault="00591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09" w:rsidRDefault="00A22309" w:rsidP="00FA1FD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2309" w:rsidRDefault="00A22309" w:rsidP="00FA1FD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09" w:rsidRDefault="00A22309" w:rsidP="00FA1FD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F378B"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A22309" w:rsidRDefault="00A22309" w:rsidP="00FA1FD2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0B2"/>
    <w:multiLevelType w:val="hybridMultilevel"/>
    <w:tmpl w:val="616C08A6"/>
    <w:lvl w:ilvl="0" w:tplc="DB04DD72">
      <w:start w:val="1"/>
      <w:numFmt w:val="bullet"/>
      <w:lvlText w:val=""/>
      <w:lvlJc w:val="left"/>
      <w:pPr>
        <w:tabs>
          <w:tab w:val="num" w:pos="935"/>
        </w:tabs>
        <w:ind w:left="878" w:hanging="17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CB22AB4"/>
    <w:multiLevelType w:val="hybridMultilevel"/>
    <w:tmpl w:val="06401BB6"/>
    <w:lvl w:ilvl="0" w:tplc="0416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0FF54DD2"/>
    <w:multiLevelType w:val="hybridMultilevel"/>
    <w:tmpl w:val="74C2CE6E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FF3DA4"/>
    <w:multiLevelType w:val="hybridMultilevel"/>
    <w:tmpl w:val="1AF8093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29B36779"/>
    <w:multiLevelType w:val="hybridMultilevel"/>
    <w:tmpl w:val="BCB05764"/>
    <w:lvl w:ilvl="0" w:tplc="904C2278">
      <w:start w:val="1"/>
      <w:numFmt w:val="lowerLetter"/>
      <w:lvlText w:val="%1)"/>
      <w:lvlJc w:val="left"/>
      <w:pPr>
        <w:tabs>
          <w:tab w:val="num" w:pos="1156"/>
        </w:tabs>
        <w:ind w:left="1156" w:hanging="7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5">
    <w:nsid w:val="35460872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9430AA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5F60207E"/>
    <w:multiLevelType w:val="hybridMultilevel"/>
    <w:tmpl w:val="F0AE0464"/>
    <w:lvl w:ilvl="0" w:tplc="8504899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3132ED2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693435B7"/>
    <w:multiLevelType w:val="hybridMultilevel"/>
    <w:tmpl w:val="C366B2B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6D610249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4C461E2"/>
    <w:multiLevelType w:val="hybridMultilevel"/>
    <w:tmpl w:val="DA6CEC0C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7EA137D2"/>
    <w:multiLevelType w:val="hybridMultilevel"/>
    <w:tmpl w:val="C3A637DC"/>
    <w:lvl w:ilvl="0" w:tplc="5FD02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A5872"/>
    <w:rsid w:val="00020068"/>
    <w:rsid w:val="00021D76"/>
    <w:rsid w:val="00022AAB"/>
    <w:rsid w:val="00023976"/>
    <w:rsid w:val="00026085"/>
    <w:rsid w:val="0002721C"/>
    <w:rsid w:val="00031567"/>
    <w:rsid w:val="00033B6C"/>
    <w:rsid w:val="00036F00"/>
    <w:rsid w:val="00047D63"/>
    <w:rsid w:val="00053797"/>
    <w:rsid w:val="000600E8"/>
    <w:rsid w:val="00062AC6"/>
    <w:rsid w:val="000757A7"/>
    <w:rsid w:val="000757F7"/>
    <w:rsid w:val="00080AF7"/>
    <w:rsid w:val="00081079"/>
    <w:rsid w:val="000824FE"/>
    <w:rsid w:val="00092ED7"/>
    <w:rsid w:val="00095011"/>
    <w:rsid w:val="000A10FA"/>
    <w:rsid w:val="000A1970"/>
    <w:rsid w:val="000A6779"/>
    <w:rsid w:val="000C3136"/>
    <w:rsid w:val="000C79D7"/>
    <w:rsid w:val="000D2396"/>
    <w:rsid w:val="000D5D80"/>
    <w:rsid w:val="0010381D"/>
    <w:rsid w:val="0013139E"/>
    <w:rsid w:val="001425B2"/>
    <w:rsid w:val="0015067C"/>
    <w:rsid w:val="00151C4C"/>
    <w:rsid w:val="00156405"/>
    <w:rsid w:val="00172D30"/>
    <w:rsid w:val="0017347B"/>
    <w:rsid w:val="00187D7D"/>
    <w:rsid w:val="001903F5"/>
    <w:rsid w:val="001A3E57"/>
    <w:rsid w:val="001B76F1"/>
    <w:rsid w:val="001C0229"/>
    <w:rsid w:val="001C1775"/>
    <w:rsid w:val="001E1A6C"/>
    <w:rsid w:val="001E20F0"/>
    <w:rsid w:val="001E6FFD"/>
    <w:rsid w:val="00205ED9"/>
    <w:rsid w:val="00207FA4"/>
    <w:rsid w:val="00225AFA"/>
    <w:rsid w:val="00234922"/>
    <w:rsid w:val="00235896"/>
    <w:rsid w:val="002465B2"/>
    <w:rsid w:val="002476E6"/>
    <w:rsid w:val="002478DE"/>
    <w:rsid w:val="00252C0B"/>
    <w:rsid w:val="002541C9"/>
    <w:rsid w:val="002573AA"/>
    <w:rsid w:val="00257616"/>
    <w:rsid w:val="00266A2F"/>
    <w:rsid w:val="002712F8"/>
    <w:rsid w:val="00274260"/>
    <w:rsid w:val="002771E7"/>
    <w:rsid w:val="00291D59"/>
    <w:rsid w:val="00297A3C"/>
    <w:rsid w:val="002A1443"/>
    <w:rsid w:val="002A2118"/>
    <w:rsid w:val="002A5872"/>
    <w:rsid w:val="002B37C9"/>
    <w:rsid w:val="002B6384"/>
    <w:rsid w:val="002D3201"/>
    <w:rsid w:val="002E747C"/>
    <w:rsid w:val="002F378B"/>
    <w:rsid w:val="002F5282"/>
    <w:rsid w:val="00300F6C"/>
    <w:rsid w:val="00315D03"/>
    <w:rsid w:val="00330B37"/>
    <w:rsid w:val="00341779"/>
    <w:rsid w:val="00351CE9"/>
    <w:rsid w:val="0035298F"/>
    <w:rsid w:val="00363F66"/>
    <w:rsid w:val="00375DD0"/>
    <w:rsid w:val="00376F46"/>
    <w:rsid w:val="00383ED6"/>
    <w:rsid w:val="00386FFB"/>
    <w:rsid w:val="00390260"/>
    <w:rsid w:val="00395EC7"/>
    <w:rsid w:val="003A14D8"/>
    <w:rsid w:val="003B388E"/>
    <w:rsid w:val="003C0110"/>
    <w:rsid w:val="003D5B9A"/>
    <w:rsid w:val="003E0899"/>
    <w:rsid w:val="003F2F3A"/>
    <w:rsid w:val="003F3C27"/>
    <w:rsid w:val="00402AE6"/>
    <w:rsid w:val="0040514E"/>
    <w:rsid w:val="004140F5"/>
    <w:rsid w:val="00427CAF"/>
    <w:rsid w:val="0043309D"/>
    <w:rsid w:val="00435739"/>
    <w:rsid w:val="00441165"/>
    <w:rsid w:val="004443E9"/>
    <w:rsid w:val="00447855"/>
    <w:rsid w:val="0045031B"/>
    <w:rsid w:val="004639BC"/>
    <w:rsid w:val="004679CA"/>
    <w:rsid w:val="004829EA"/>
    <w:rsid w:val="00483645"/>
    <w:rsid w:val="004855DC"/>
    <w:rsid w:val="00490264"/>
    <w:rsid w:val="00495214"/>
    <w:rsid w:val="004969E3"/>
    <w:rsid w:val="004B0054"/>
    <w:rsid w:val="004B1EF8"/>
    <w:rsid w:val="004C7B88"/>
    <w:rsid w:val="004D21A6"/>
    <w:rsid w:val="004E2CD1"/>
    <w:rsid w:val="004E374B"/>
    <w:rsid w:val="004E5C49"/>
    <w:rsid w:val="004F3922"/>
    <w:rsid w:val="004F5972"/>
    <w:rsid w:val="004F68E9"/>
    <w:rsid w:val="00505401"/>
    <w:rsid w:val="005118A4"/>
    <w:rsid w:val="0052697D"/>
    <w:rsid w:val="00541400"/>
    <w:rsid w:val="00557B20"/>
    <w:rsid w:val="00574515"/>
    <w:rsid w:val="0058399F"/>
    <w:rsid w:val="005900FE"/>
    <w:rsid w:val="00591D72"/>
    <w:rsid w:val="00592105"/>
    <w:rsid w:val="005939AE"/>
    <w:rsid w:val="00594197"/>
    <w:rsid w:val="005A2BFF"/>
    <w:rsid w:val="005B3E17"/>
    <w:rsid w:val="005C3C3D"/>
    <w:rsid w:val="005D06EB"/>
    <w:rsid w:val="005D08D3"/>
    <w:rsid w:val="005D67F1"/>
    <w:rsid w:val="00603860"/>
    <w:rsid w:val="006041CF"/>
    <w:rsid w:val="006044FA"/>
    <w:rsid w:val="0061181A"/>
    <w:rsid w:val="00612D13"/>
    <w:rsid w:val="00616FA3"/>
    <w:rsid w:val="00627E31"/>
    <w:rsid w:val="00635422"/>
    <w:rsid w:val="00637195"/>
    <w:rsid w:val="00640ED0"/>
    <w:rsid w:val="00654C95"/>
    <w:rsid w:val="0065558C"/>
    <w:rsid w:val="006567BB"/>
    <w:rsid w:val="0067074F"/>
    <w:rsid w:val="00674E6A"/>
    <w:rsid w:val="006762A5"/>
    <w:rsid w:val="00681B55"/>
    <w:rsid w:val="006872B8"/>
    <w:rsid w:val="006917BB"/>
    <w:rsid w:val="00692457"/>
    <w:rsid w:val="006A38C3"/>
    <w:rsid w:val="006B7E17"/>
    <w:rsid w:val="006B7FF9"/>
    <w:rsid w:val="006C069B"/>
    <w:rsid w:val="006C298F"/>
    <w:rsid w:val="006D0024"/>
    <w:rsid w:val="006D3F00"/>
    <w:rsid w:val="006D71FB"/>
    <w:rsid w:val="006E0521"/>
    <w:rsid w:val="006E4E6F"/>
    <w:rsid w:val="007009F6"/>
    <w:rsid w:val="00701905"/>
    <w:rsid w:val="00702584"/>
    <w:rsid w:val="007058A8"/>
    <w:rsid w:val="00707D88"/>
    <w:rsid w:val="0072016C"/>
    <w:rsid w:val="00730CFF"/>
    <w:rsid w:val="007332ED"/>
    <w:rsid w:val="00737E5E"/>
    <w:rsid w:val="00752F8D"/>
    <w:rsid w:val="00765CE4"/>
    <w:rsid w:val="007706F7"/>
    <w:rsid w:val="00771A64"/>
    <w:rsid w:val="00771FD8"/>
    <w:rsid w:val="00775FDB"/>
    <w:rsid w:val="00780435"/>
    <w:rsid w:val="007827D5"/>
    <w:rsid w:val="00784AC2"/>
    <w:rsid w:val="00786E55"/>
    <w:rsid w:val="00787F40"/>
    <w:rsid w:val="00790047"/>
    <w:rsid w:val="0079073E"/>
    <w:rsid w:val="007974BF"/>
    <w:rsid w:val="007A4AEA"/>
    <w:rsid w:val="007A5A8F"/>
    <w:rsid w:val="007C13FF"/>
    <w:rsid w:val="007C61BD"/>
    <w:rsid w:val="007E5B1B"/>
    <w:rsid w:val="007F2FC8"/>
    <w:rsid w:val="007F6C81"/>
    <w:rsid w:val="00800602"/>
    <w:rsid w:val="00803576"/>
    <w:rsid w:val="00815EC2"/>
    <w:rsid w:val="00825A09"/>
    <w:rsid w:val="0083313D"/>
    <w:rsid w:val="0083319C"/>
    <w:rsid w:val="00835A29"/>
    <w:rsid w:val="008365BD"/>
    <w:rsid w:val="008575D2"/>
    <w:rsid w:val="008621DB"/>
    <w:rsid w:val="00862EC6"/>
    <w:rsid w:val="00873A67"/>
    <w:rsid w:val="008854CD"/>
    <w:rsid w:val="008967FA"/>
    <w:rsid w:val="008A1F7C"/>
    <w:rsid w:val="008C2AC4"/>
    <w:rsid w:val="008C394E"/>
    <w:rsid w:val="008C4BA7"/>
    <w:rsid w:val="008C7284"/>
    <w:rsid w:val="008D1C83"/>
    <w:rsid w:val="008D34C8"/>
    <w:rsid w:val="008E1FC7"/>
    <w:rsid w:val="008E3C46"/>
    <w:rsid w:val="008F58FA"/>
    <w:rsid w:val="008F59F7"/>
    <w:rsid w:val="00900752"/>
    <w:rsid w:val="00915F8E"/>
    <w:rsid w:val="00920096"/>
    <w:rsid w:val="00921C1C"/>
    <w:rsid w:val="0093746F"/>
    <w:rsid w:val="00961623"/>
    <w:rsid w:val="009627F2"/>
    <w:rsid w:val="0096312F"/>
    <w:rsid w:val="0098226D"/>
    <w:rsid w:val="0098362A"/>
    <w:rsid w:val="0098779F"/>
    <w:rsid w:val="0098793E"/>
    <w:rsid w:val="00990736"/>
    <w:rsid w:val="00997889"/>
    <w:rsid w:val="009B7150"/>
    <w:rsid w:val="009D361F"/>
    <w:rsid w:val="009D3D11"/>
    <w:rsid w:val="009D797F"/>
    <w:rsid w:val="009E15A8"/>
    <w:rsid w:val="009E2A4F"/>
    <w:rsid w:val="009E5A0A"/>
    <w:rsid w:val="009F0125"/>
    <w:rsid w:val="00A22309"/>
    <w:rsid w:val="00A2630F"/>
    <w:rsid w:val="00A31E2D"/>
    <w:rsid w:val="00A33A6A"/>
    <w:rsid w:val="00A63574"/>
    <w:rsid w:val="00A6581D"/>
    <w:rsid w:val="00A66317"/>
    <w:rsid w:val="00A71B2D"/>
    <w:rsid w:val="00A96BFF"/>
    <w:rsid w:val="00AA5CD9"/>
    <w:rsid w:val="00AB6293"/>
    <w:rsid w:val="00AB734F"/>
    <w:rsid w:val="00AB7735"/>
    <w:rsid w:val="00AC22BE"/>
    <w:rsid w:val="00AC4CC9"/>
    <w:rsid w:val="00AC6986"/>
    <w:rsid w:val="00AE6270"/>
    <w:rsid w:val="00B043FC"/>
    <w:rsid w:val="00B23653"/>
    <w:rsid w:val="00B257C0"/>
    <w:rsid w:val="00B26AB5"/>
    <w:rsid w:val="00B33A7A"/>
    <w:rsid w:val="00B446B8"/>
    <w:rsid w:val="00B44A9A"/>
    <w:rsid w:val="00B56CA0"/>
    <w:rsid w:val="00B6148A"/>
    <w:rsid w:val="00B631AF"/>
    <w:rsid w:val="00B75155"/>
    <w:rsid w:val="00B81DA1"/>
    <w:rsid w:val="00B82300"/>
    <w:rsid w:val="00B96A3F"/>
    <w:rsid w:val="00B97F14"/>
    <w:rsid w:val="00BB5848"/>
    <w:rsid w:val="00BD1575"/>
    <w:rsid w:val="00BD31FD"/>
    <w:rsid w:val="00BD6559"/>
    <w:rsid w:val="00BE3344"/>
    <w:rsid w:val="00BF05BE"/>
    <w:rsid w:val="00BF0C7E"/>
    <w:rsid w:val="00C0056F"/>
    <w:rsid w:val="00C02E4C"/>
    <w:rsid w:val="00C037AA"/>
    <w:rsid w:val="00C05F25"/>
    <w:rsid w:val="00C23425"/>
    <w:rsid w:val="00C27CF7"/>
    <w:rsid w:val="00C50EF7"/>
    <w:rsid w:val="00C738CF"/>
    <w:rsid w:val="00C7494F"/>
    <w:rsid w:val="00C779DF"/>
    <w:rsid w:val="00C84DAC"/>
    <w:rsid w:val="00C92459"/>
    <w:rsid w:val="00CA3B10"/>
    <w:rsid w:val="00CC4599"/>
    <w:rsid w:val="00CC7365"/>
    <w:rsid w:val="00CD3B29"/>
    <w:rsid w:val="00CD734D"/>
    <w:rsid w:val="00CE46DE"/>
    <w:rsid w:val="00CF723D"/>
    <w:rsid w:val="00CF7CF8"/>
    <w:rsid w:val="00D0072E"/>
    <w:rsid w:val="00D161C5"/>
    <w:rsid w:val="00D176D1"/>
    <w:rsid w:val="00D20D3C"/>
    <w:rsid w:val="00D21F3A"/>
    <w:rsid w:val="00D31D21"/>
    <w:rsid w:val="00D371EC"/>
    <w:rsid w:val="00D4091A"/>
    <w:rsid w:val="00D4376D"/>
    <w:rsid w:val="00D47142"/>
    <w:rsid w:val="00D54496"/>
    <w:rsid w:val="00D56883"/>
    <w:rsid w:val="00D63955"/>
    <w:rsid w:val="00D67624"/>
    <w:rsid w:val="00D874EF"/>
    <w:rsid w:val="00D96EBB"/>
    <w:rsid w:val="00DA06D8"/>
    <w:rsid w:val="00DA36E5"/>
    <w:rsid w:val="00DA65EE"/>
    <w:rsid w:val="00DB0DAF"/>
    <w:rsid w:val="00DC00D9"/>
    <w:rsid w:val="00DC43DB"/>
    <w:rsid w:val="00DD0C14"/>
    <w:rsid w:val="00DD18AF"/>
    <w:rsid w:val="00DE3D95"/>
    <w:rsid w:val="00DF0AF2"/>
    <w:rsid w:val="00DF25F3"/>
    <w:rsid w:val="00DF4737"/>
    <w:rsid w:val="00E154C3"/>
    <w:rsid w:val="00E1727D"/>
    <w:rsid w:val="00E246E3"/>
    <w:rsid w:val="00E32F9B"/>
    <w:rsid w:val="00E4573B"/>
    <w:rsid w:val="00E45AC1"/>
    <w:rsid w:val="00E45F17"/>
    <w:rsid w:val="00E55201"/>
    <w:rsid w:val="00E63275"/>
    <w:rsid w:val="00E727ED"/>
    <w:rsid w:val="00E7462A"/>
    <w:rsid w:val="00E827CE"/>
    <w:rsid w:val="00E8383F"/>
    <w:rsid w:val="00E92015"/>
    <w:rsid w:val="00EB6BB1"/>
    <w:rsid w:val="00EC5703"/>
    <w:rsid w:val="00ED1BEF"/>
    <w:rsid w:val="00ED3DCF"/>
    <w:rsid w:val="00EE0415"/>
    <w:rsid w:val="00EE6C11"/>
    <w:rsid w:val="00F07649"/>
    <w:rsid w:val="00F1514C"/>
    <w:rsid w:val="00F23F99"/>
    <w:rsid w:val="00F243E0"/>
    <w:rsid w:val="00F254A2"/>
    <w:rsid w:val="00F2551F"/>
    <w:rsid w:val="00F32A79"/>
    <w:rsid w:val="00F33411"/>
    <w:rsid w:val="00F338E5"/>
    <w:rsid w:val="00F41B6C"/>
    <w:rsid w:val="00F44405"/>
    <w:rsid w:val="00F549A5"/>
    <w:rsid w:val="00F56595"/>
    <w:rsid w:val="00F627B0"/>
    <w:rsid w:val="00F664B2"/>
    <w:rsid w:val="00F67D33"/>
    <w:rsid w:val="00F749D2"/>
    <w:rsid w:val="00F75799"/>
    <w:rsid w:val="00F772B7"/>
    <w:rsid w:val="00F85C4E"/>
    <w:rsid w:val="00F94BE7"/>
    <w:rsid w:val="00F96217"/>
    <w:rsid w:val="00FA1FD2"/>
    <w:rsid w:val="00FC3D75"/>
    <w:rsid w:val="00FD530D"/>
    <w:rsid w:val="00FD5C14"/>
    <w:rsid w:val="00FE11A4"/>
    <w:rsid w:val="00FE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F6C"/>
    <w:rPr>
      <w:sz w:val="24"/>
      <w:szCs w:val="24"/>
    </w:rPr>
  </w:style>
  <w:style w:type="paragraph" w:styleId="Ttulo3">
    <w:name w:val="heading 3"/>
    <w:basedOn w:val="Normal"/>
    <w:next w:val="Normal"/>
    <w:qFormat/>
    <w:rsid w:val="00790047"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2A587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2A5872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2A5872"/>
  </w:style>
  <w:style w:type="paragraph" w:customStyle="1" w:styleId="01-Minuta-CLG">
    <w:name w:val="01 - Minuta - CLG"/>
    <w:link w:val="01-Minuta-CLGChar"/>
    <w:rsid w:val="002A5872"/>
    <w:pPr>
      <w:spacing w:after="180"/>
      <w:jc w:val="center"/>
    </w:pPr>
    <w:rPr>
      <w:sz w:val="24"/>
    </w:rPr>
  </w:style>
  <w:style w:type="character" w:customStyle="1" w:styleId="01-Minuta-CLGChar">
    <w:name w:val="01 - Minuta - CLG Char"/>
    <w:basedOn w:val="Fontepargpadro"/>
    <w:link w:val="01-Minuta-CLG"/>
    <w:rsid w:val="002A5872"/>
    <w:rPr>
      <w:sz w:val="24"/>
      <w:lang w:val="pt-BR" w:eastAsia="pt-BR" w:bidi="ar-SA"/>
    </w:rPr>
  </w:style>
  <w:style w:type="paragraph" w:customStyle="1" w:styleId="02-TtuloPrincipal-CLG">
    <w:name w:val="02 - Título Principal - CLG"/>
    <w:link w:val="02-TtuloPrincipal-CLGChar"/>
    <w:rsid w:val="002A5872"/>
    <w:pPr>
      <w:spacing w:after="960"/>
      <w:jc w:val="center"/>
    </w:pPr>
    <w:rPr>
      <w:b/>
      <w:bCs/>
      <w:sz w:val="32"/>
    </w:rPr>
  </w:style>
  <w:style w:type="character" w:customStyle="1" w:styleId="02-TtuloPrincipal-CLGChar">
    <w:name w:val="02 - Título Principal - CLG Char"/>
    <w:basedOn w:val="Fontepargpadro"/>
    <w:link w:val="02-TtuloPrincipal-CLG"/>
    <w:rsid w:val="002A5872"/>
    <w:rPr>
      <w:b/>
      <w:bCs/>
      <w:sz w:val="32"/>
      <w:lang w:val="pt-BR" w:eastAsia="pt-BR" w:bidi="ar-SA"/>
    </w:rPr>
  </w:style>
  <w:style w:type="paragraph" w:customStyle="1" w:styleId="03-Ementa-CLG">
    <w:name w:val="03 - Ementa - CLG"/>
    <w:link w:val="03-Ementa-CLGCharChar"/>
    <w:rsid w:val="002A5872"/>
    <w:pPr>
      <w:spacing w:after="960"/>
      <w:ind w:left="3686"/>
      <w:jc w:val="both"/>
    </w:pPr>
    <w:rPr>
      <w:rFonts w:eastAsia="Arial Unicode MS"/>
      <w:sz w:val="24"/>
      <w:szCs w:val="24"/>
    </w:rPr>
  </w:style>
  <w:style w:type="character" w:customStyle="1" w:styleId="03-Ementa-CLGCharChar">
    <w:name w:val="03 - Ementa - CLG Char Char"/>
    <w:basedOn w:val="Fontepargpadro"/>
    <w:link w:val="03-Ementa-CLG"/>
    <w:rsid w:val="002A5872"/>
    <w:rPr>
      <w:rFonts w:eastAsia="Arial Unicode MS"/>
      <w:sz w:val="24"/>
      <w:szCs w:val="24"/>
      <w:lang w:val="pt-BR" w:eastAsia="pt-BR" w:bidi="ar-SA"/>
    </w:rPr>
  </w:style>
  <w:style w:type="paragraph" w:customStyle="1" w:styleId="04-Relatoria-CLG">
    <w:name w:val="04 - Relatoria - CLG"/>
    <w:link w:val="04-Relatoria-CLGChar"/>
    <w:rsid w:val="002A5872"/>
    <w:pPr>
      <w:spacing w:after="960"/>
      <w:ind w:left="1440"/>
    </w:pPr>
    <w:rPr>
      <w:sz w:val="28"/>
    </w:rPr>
  </w:style>
  <w:style w:type="character" w:customStyle="1" w:styleId="04-Relatoria-CLGChar">
    <w:name w:val="04 - Relatoria - CLG Char"/>
    <w:basedOn w:val="Fontepargpadro"/>
    <w:link w:val="04-Relatoria-CLG"/>
    <w:rsid w:val="002A5872"/>
    <w:rPr>
      <w:sz w:val="28"/>
      <w:lang w:val="pt-BR" w:eastAsia="pt-BR" w:bidi="ar-SA"/>
    </w:rPr>
  </w:style>
  <w:style w:type="paragraph" w:customStyle="1" w:styleId="05-Subttulo-CLG">
    <w:name w:val="05 - Subtítulo - CLG"/>
    <w:link w:val="05-Subttulo-CLGChar"/>
    <w:rsid w:val="002A5872"/>
    <w:pPr>
      <w:spacing w:after="480"/>
      <w:jc w:val="both"/>
    </w:pPr>
    <w:rPr>
      <w:b/>
      <w:bCs/>
      <w:sz w:val="28"/>
    </w:rPr>
  </w:style>
  <w:style w:type="character" w:customStyle="1" w:styleId="05-Subttulo-CLGChar">
    <w:name w:val="05 - Subtítulo - CLG Char"/>
    <w:basedOn w:val="Fontepargpadro"/>
    <w:link w:val="05-Subttulo-CLG"/>
    <w:rsid w:val="002A5872"/>
    <w:rPr>
      <w:b/>
      <w:bCs/>
      <w:sz w:val="28"/>
      <w:lang w:val="pt-BR" w:eastAsia="pt-BR" w:bidi="ar-SA"/>
    </w:rPr>
  </w:style>
  <w:style w:type="paragraph" w:customStyle="1" w:styleId="06-Pargrafodetexto-CLG">
    <w:name w:val="06 - Parágrafo de texto - CLG"/>
    <w:link w:val="06-Pargrafodetexto-CLGChar"/>
    <w:rsid w:val="002A5872"/>
    <w:pPr>
      <w:spacing w:after="360"/>
      <w:ind w:firstLine="1418"/>
      <w:jc w:val="both"/>
    </w:pPr>
    <w:rPr>
      <w:sz w:val="28"/>
    </w:rPr>
  </w:style>
  <w:style w:type="character" w:customStyle="1" w:styleId="06-Pargrafodetexto-CLGChar">
    <w:name w:val="06 - Parágrafo de texto - CLG Char"/>
    <w:basedOn w:val="Fontepargpadro"/>
    <w:link w:val="06-Pargrafodetexto-CLG"/>
    <w:rsid w:val="002A5872"/>
    <w:rPr>
      <w:sz w:val="28"/>
      <w:lang w:val="pt-BR" w:eastAsia="pt-BR" w:bidi="ar-SA"/>
    </w:rPr>
  </w:style>
  <w:style w:type="paragraph" w:customStyle="1" w:styleId="10-Local-CLG">
    <w:name w:val="10 - Local - CLG"/>
    <w:link w:val="10-Local-CLGChar"/>
    <w:rsid w:val="002A5872"/>
    <w:pPr>
      <w:spacing w:before="960" w:after="720"/>
      <w:ind w:firstLine="2520"/>
      <w:jc w:val="both"/>
    </w:pPr>
    <w:rPr>
      <w:sz w:val="28"/>
    </w:rPr>
  </w:style>
  <w:style w:type="character" w:customStyle="1" w:styleId="10-Local-CLGChar">
    <w:name w:val="10 - Local - CLG Char"/>
    <w:basedOn w:val="Fontepargpadro"/>
    <w:link w:val="10-Local-CLG"/>
    <w:rsid w:val="002A5872"/>
    <w:rPr>
      <w:sz w:val="28"/>
      <w:lang w:val="pt-BR" w:eastAsia="pt-BR" w:bidi="ar-SA"/>
    </w:rPr>
  </w:style>
  <w:style w:type="paragraph" w:customStyle="1" w:styleId="11-Assinaturas-CLG">
    <w:name w:val="11 - Assinaturas - CLG"/>
    <w:link w:val="11-Assinaturas-CLGChar"/>
    <w:rsid w:val="002A5872"/>
    <w:pPr>
      <w:spacing w:after="960"/>
      <w:ind w:left="6240"/>
      <w:jc w:val="both"/>
    </w:pPr>
    <w:rPr>
      <w:sz w:val="28"/>
    </w:rPr>
  </w:style>
  <w:style w:type="character" w:customStyle="1" w:styleId="11-Assinaturas-CLGChar">
    <w:name w:val="11 - Assinaturas - CLG Char"/>
    <w:basedOn w:val="Fontepargpadro"/>
    <w:link w:val="11-Assinaturas-CLG"/>
    <w:rsid w:val="002A5872"/>
    <w:rPr>
      <w:sz w:val="28"/>
      <w:lang w:val="pt-BR" w:eastAsia="pt-BR" w:bidi="ar-SA"/>
    </w:rPr>
  </w:style>
  <w:style w:type="paragraph" w:customStyle="1" w:styleId="07-Citaolegal-CLG">
    <w:name w:val="07 - Citação legal - CLG"/>
    <w:link w:val="07-Citaolegal-CLGCharChar"/>
    <w:rsid w:val="002A5872"/>
    <w:pPr>
      <w:spacing w:after="120"/>
      <w:ind w:left="1985" w:firstLine="567"/>
      <w:jc w:val="both"/>
    </w:pPr>
    <w:rPr>
      <w:bCs/>
      <w:sz w:val="24"/>
    </w:rPr>
  </w:style>
  <w:style w:type="paragraph" w:customStyle="1" w:styleId="08-Citaolegal-ltimalinha-CLG">
    <w:name w:val="08 - Citação legal - última linha - CLG"/>
    <w:link w:val="08-Citaolegal-ltimalinha-CLGCharChar"/>
    <w:rsid w:val="002A5872"/>
    <w:pPr>
      <w:spacing w:after="480"/>
      <w:ind w:left="1985" w:firstLine="567"/>
      <w:jc w:val="both"/>
    </w:pPr>
    <w:rPr>
      <w:sz w:val="24"/>
    </w:rPr>
  </w:style>
  <w:style w:type="paragraph" w:customStyle="1" w:styleId="09-Ttuloemenda-CLG">
    <w:name w:val="09 - Título emenda - CLG"/>
    <w:link w:val="09-Ttuloemenda-CLGChar"/>
    <w:rsid w:val="002A5872"/>
    <w:pPr>
      <w:spacing w:before="480" w:after="360"/>
      <w:jc w:val="center"/>
    </w:pPr>
    <w:rPr>
      <w:b/>
      <w:bCs/>
      <w:spacing w:val="-4"/>
      <w:sz w:val="28"/>
    </w:rPr>
  </w:style>
  <w:style w:type="paragraph" w:customStyle="1" w:styleId="05-Pargrafodetexto-CLG">
    <w:name w:val="05 - Parágrafo de texto - CLG"/>
    <w:link w:val="05-Pargrafodetexto-CLGChar"/>
    <w:rsid w:val="00ED3DCF"/>
    <w:pPr>
      <w:spacing w:after="360"/>
      <w:ind w:firstLine="1418"/>
      <w:jc w:val="both"/>
    </w:pPr>
    <w:rPr>
      <w:sz w:val="28"/>
    </w:rPr>
  </w:style>
  <w:style w:type="character" w:customStyle="1" w:styleId="05-Pargrafodetexto-CLGChar">
    <w:name w:val="05 - Parágrafo de texto - CLG Char"/>
    <w:basedOn w:val="Fontepargpadro"/>
    <w:link w:val="05-Pargrafodetexto-CLG"/>
    <w:rsid w:val="00ED3DCF"/>
    <w:rPr>
      <w:sz w:val="28"/>
      <w:lang w:val="pt-BR" w:eastAsia="pt-BR" w:bidi="ar-SA"/>
    </w:rPr>
  </w:style>
  <w:style w:type="character" w:styleId="Hyperlink">
    <w:name w:val="Hyperlink"/>
    <w:basedOn w:val="Fontepargpadro"/>
    <w:rsid w:val="00ED3DCF"/>
    <w:rPr>
      <w:color w:val="0505A0"/>
      <w:spacing w:val="0"/>
      <w:u w:val="single"/>
    </w:rPr>
  </w:style>
  <w:style w:type="paragraph" w:styleId="Textodebalo">
    <w:name w:val="Balloon Text"/>
    <w:basedOn w:val="Normal"/>
    <w:semiHidden/>
    <w:rsid w:val="00B631AF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A33A6A"/>
    <w:pPr>
      <w:ind w:firstLine="851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rsid w:val="00A33A6A"/>
    <w:pPr>
      <w:spacing w:after="120"/>
      <w:ind w:firstLine="709"/>
      <w:jc w:val="both"/>
    </w:pPr>
    <w:rPr>
      <w:rFonts w:ascii="Arial" w:hAnsi="Arial" w:cs="Courier New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locked/>
    <w:rsid w:val="00A33A6A"/>
    <w:rPr>
      <w:rFonts w:ascii="Arial" w:hAnsi="Arial" w:cs="Courier New"/>
      <w:sz w:val="24"/>
      <w:lang w:val="pt-BR" w:eastAsia="pt-BR" w:bidi="ar-SA"/>
    </w:rPr>
  </w:style>
  <w:style w:type="paragraph" w:customStyle="1" w:styleId="05-Citaolegal-linhasiniciais-CLG">
    <w:name w:val="05 - Citação legal - linhas iniciais - CLG"/>
    <w:rsid w:val="00674E6A"/>
    <w:pPr>
      <w:spacing w:after="120"/>
      <w:ind w:left="1985" w:firstLine="567"/>
      <w:jc w:val="both"/>
    </w:pPr>
    <w:rPr>
      <w:bCs/>
      <w:sz w:val="24"/>
    </w:rPr>
  </w:style>
  <w:style w:type="paragraph" w:customStyle="1" w:styleId="06-Citaolegal-linhafinal-CLG">
    <w:name w:val="06 - Citação legal - linha final - CLG"/>
    <w:rsid w:val="00674E6A"/>
    <w:pPr>
      <w:spacing w:after="480"/>
      <w:ind w:left="1985" w:firstLine="567"/>
      <w:jc w:val="both"/>
    </w:pPr>
    <w:rPr>
      <w:sz w:val="24"/>
    </w:rPr>
  </w:style>
  <w:style w:type="paragraph" w:customStyle="1" w:styleId="default">
    <w:name w:val="default"/>
    <w:basedOn w:val="Normal"/>
    <w:rsid w:val="007900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90047"/>
  </w:style>
  <w:style w:type="paragraph" w:styleId="NormalWeb">
    <w:name w:val="Normal (Web)"/>
    <w:basedOn w:val="Normal"/>
    <w:uiPriority w:val="99"/>
    <w:rsid w:val="00790047"/>
    <w:pPr>
      <w:spacing w:before="100" w:beforeAutospacing="1" w:after="100" w:afterAutospacing="1"/>
    </w:pPr>
  </w:style>
  <w:style w:type="paragraph" w:customStyle="1" w:styleId="tpementa">
    <w:name w:val="tpementa"/>
    <w:basedOn w:val="Normal"/>
    <w:rsid w:val="005D08D3"/>
    <w:pPr>
      <w:spacing w:before="100" w:beforeAutospacing="1" w:after="100" w:afterAutospacing="1"/>
    </w:pPr>
  </w:style>
  <w:style w:type="paragraph" w:customStyle="1" w:styleId="04-PargrafodetextoEstudoNotas-CLG">
    <w:name w:val="04 - Parágrafo de texto Estudo Notas - CLG"/>
    <w:link w:val="04-PargrafodetextoEstudoNotas-CLGChar"/>
    <w:rsid w:val="005D08D3"/>
    <w:pPr>
      <w:spacing w:after="360" w:line="360" w:lineRule="auto"/>
      <w:ind w:firstLine="1418"/>
      <w:jc w:val="both"/>
    </w:pPr>
    <w:rPr>
      <w:sz w:val="28"/>
    </w:rPr>
  </w:style>
  <w:style w:type="character" w:customStyle="1" w:styleId="04-PargrafodetextoEstudoNotas-CLGChar">
    <w:name w:val="04 - Parágrafo de texto Estudo Notas - CLG Char"/>
    <w:basedOn w:val="Fontepargpadro"/>
    <w:link w:val="04-PargrafodetextoEstudoNotas-CLG"/>
    <w:rsid w:val="005D08D3"/>
    <w:rPr>
      <w:sz w:val="28"/>
      <w:lang w:val="pt-BR" w:eastAsia="pt-BR" w:bidi="ar-SA"/>
    </w:rPr>
  </w:style>
  <w:style w:type="character" w:customStyle="1" w:styleId="07-Citaolegal-CLGCharChar">
    <w:name w:val="07 - Citação legal - CLG Char Char"/>
    <w:basedOn w:val="Fontepargpadro"/>
    <w:link w:val="07-Citaolegal-CLG"/>
    <w:rsid w:val="00FA1FD2"/>
    <w:rPr>
      <w:bCs/>
      <w:sz w:val="24"/>
      <w:lang w:val="pt-BR" w:eastAsia="pt-BR" w:bidi="ar-SA"/>
    </w:rPr>
  </w:style>
  <w:style w:type="character" w:customStyle="1" w:styleId="08-Citaolegal-ltimalinha-CLGCharChar">
    <w:name w:val="08 - Citação legal - última linha - CLG Char Char"/>
    <w:basedOn w:val="Fontepargpadro"/>
    <w:link w:val="08-Citaolegal-ltimalinha-CLG"/>
    <w:rsid w:val="00FA1FD2"/>
    <w:rPr>
      <w:sz w:val="24"/>
      <w:lang w:val="pt-BR" w:eastAsia="pt-BR" w:bidi="ar-SA"/>
    </w:rPr>
  </w:style>
  <w:style w:type="character" w:customStyle="1" w:styleId="09-Ttuloemenda-CLGChar">
    <w:name w:val="09 - Título emenda - CLG Char"/>
    <w:basedOn w:val="Fontepargpadro"/>
    <w:link w:val="09-Ttuloemenda-CLG"/>
    <w:rsid w:val="00FA1FD2"/>
    <w:rPr>
      <w:b/>
      <w:bCs/>
      <w:spacing w:val="-4"/>
      <w:sz w:val="28"/>
      <w:lang w:val="pt-BR" w:eastAsia="pt-BR" w:bidi="ar-SA"/>
    </w:rPr>
  </w:style>
  <w:style w:type="numbering" w:styleId="111111">
    <w:name w:val="Outline List 2"/>
    <w:basedOn w:val="Semlista"/>
    <w:semiHidden/>
    <w:rsid w:val="00FA1FD2"/>
    <w:pPr>
      <w:numPr>
        <w:numId w:val="8"/>
      </w:numPr>
    </w:pPr>
  </w:style>
  <w:style w:type="numbering" w:styleId="1ai">
    <w:name w:val="Outline List 1"/>
    <w:basedOn w:val="Semlista"/>
    <w:semiHidden/>
    <w:rsid w:val="00FA1FD2"/>
    <w:pPr>
      <w:numPr>
        <w:numId w:val="10"/>
      </w:numPr>
    </w:pPr>
  </w:style>
  <w:style w:type="character" w:styleId="Refdecomentrio">
    <w:name w:val="annotation reference"/>
    <w:basedOn w:val="Fontepargpadro"/>
    <w:semiHidden/>
    <w:rsid w:val="00F07649"/>
    <w:rPr>
      <w:sz w:val="16"/>
      <w:szCs w:val="16"/>
    </w:rPr>
  </w:style>
  <w:style w:type="paragraph" w:styleId="Textodecomentrio">
    <w:name w:val="annotation text"/>
    <w:basedOn w:val="Normal"/>
    <w:semiHidden/>
    <w:rsid w:val="00F076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F07649"/>
    <w:rPr>
      <w:b/>
      <w:bCs/>
    </w:rPr>
  </w:style>
  <w:style w:type="paragraph" w:customStyle="1" w:styleId="CORPOPADRO">
    <w:name w:val="CORPO PADRÃO"/>
    <w:basedOn w:val="Normal"/>
    <w:rsid w:val="00266A2F"/>
    <w:pPr>
      <w:snapToGrid w:val="0"/>
      <w:spacing w:after="200" w:line="360" w:lineRule="exact"/>
      <w:ind w:firstLine="2302"/>
      <w:jc w:val="both"/>
    </w:pPr>
    <w:rPr>
      <w:rFonts w:ascii="Arial" w:eastAsia="Calibri" w:hAnsi="Arial"/>
      <w:color w:val="000000"/>
      <w:szCs w:val="20"/>
    </w:rPr>
  </w:style>
  <w:style w:type="paragraph" w:customStyle="1" w:styleId="05-Pargrafodetextosumrioexecutivo-CLG">
    <w:name w:val="05 - Parágrafo de texto sumário executivo - CLG"/>
    <w:basedOn w:val="Normal"/>
    <w:link w:val="05-Pargrafodetextosumrioexecutivo-CLGChar"/>
    <w:qFormat/>
    <w:rsid w:val="00B56CA0"/>
    <w:pPr>
      <w:spacing w:after="360" w:line="360" w:lineRule="auto"/>
      <w:ind w:firstLine="1418"/>
      <w:jc w:val="both"/>
    </w:pPr>
    <w:rPr>
      <w:sz w:val="28"/>
      <w:szCs w:val="20"/>
    </w:rPr>
  </w:style>
  <w:style w:type="character" w:customStyle="1" w:styleId="05-Pargrafodetextosumrioexecutivo-CLGChar">
    <w:name w:val="05 - Parágrafo de texto sumário executivo - CLG Char"/>
    <w:basedOn w:val="Fontepargpadro"/>
    <w:link w:val="05-Pargrafodetextosumrioexecutivo-CLG"/>
    <w:rsid w:val="00B56CA0"/>
    <w:rPr>
      <w:sz w:val="28"/>
    </w:rPr>
  </w:style>
  <w:style w:type="paragraph" w:styleId="Textodenotadefim">
    <w:name w:val="endnote text"/>
    <w:basedOn w:val="Normal"/>
    <w:link w:val="TextodenotadefimChar"/>
    <w:uiPriority w:val="99"/>
    <w:unhideWhenUsed/>
    <w:rsid w:val="003F2F3A"/>
    <w:rPr>
      <w:rFonts w:ascii="Calibri" w:eastAsia="Calibri" w:hAnsi="Calibri"/>
      <w:sz w:val="20"/>
      <w:szCs w:val="20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3F2F3A"/>
    <w:rPr>
      <w:rFonts w:ascii="Calibri" w:eastAsia="Calibri" w:hAnsi="Calibri"/>
      <w:lang w:eastAsia="en-US"/>
    </w:rPr>
  </w:style>
  <w:style w:type="paragraph" w:customStyle="1" w:styleId="Default0">
    <w:name w:val="Default"/>
    <w:rsid w:val="007F2FC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05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93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8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1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2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9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64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20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32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65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5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200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807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18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892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25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94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92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164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2465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4748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3335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6169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459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3611887">
                                                                                                                  <w:marLeft w:val="56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2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30675311">
                                                                                                                  <w:marLeft w:val="56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2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37D766-99AB-4340-A10D-405D0653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7363</Words>
  <Characters>39766</Characters>
  <Application>Microsoft Office Word</Application>
  <DocSecurity>0</DocSecurity>
  <Lines>331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>Senado Federal</Company>
  <LinksUpToDate>false</LinksUpToDate>
  <CharactersWithSpaces>47035</CharactersWithSpaces>
  <SharedDoc>false</SharedDoc>
  <HLinks>
    <vt:vector size="54" baseType="variant">
      <vt:variant>
        <vt:i4>3670178</vt:i4>
      </vt:variant>
      <vt:variant>
        <vt:i4>24</vt:i4>
      </vt:variant>
      <vt:variant>
        <vt:i4>0</vt:i4>
      </vt:variant>
      <vt:variant>
        <vt:i4>5</vt:i4>
      </vt:variant>
      <vt:variant>
        <vt:lpwstr>http://www.planalto.gov.br/CCIVIL_03/_Ato2004-2006/2004/Lei/L10.848.htm</vt:lpwstr>
      </vt:variant>
      <vt:variant>
        <vt:lpwstr>art2§8iie</vt:lpwstr>
      </vt:variant>
      <vt:variant>
        <vt:i4>3276962</vt:i4>
      </vt:variant>
      <vt:variant>
        <vt:i4>21</vt:i4>
      </vt:variant>
      <vt:variant>
        <vt:i4>0</vt:i4>
      </vt:variant>
      <vt:variant>
        <vt:i4>5</vt:i4>
      </vt:variant>
      <vt:variant>
        <vt:lpwstr>http://www.planalto.gov.br/CCIVIL_03/_Ato2004-2006/2004/Lei/L10.848.htm</vt:lpwstr>
      </vt:variant>
      <vt:variant>
        <vt:lpwstr>art2§2ii</vt:lpwstr>
      </vt:variant>
      <vt:variant>
        <vt:i4>11272262</vt:i4>
      </vt:variant>
      <vt:variant>
        <vt:i4>18</vt:i4>
      </vt:variant>
      <vt:variant>
        <vt:i4>0</vt:i4>
      </vt:variant>
      <vt:variant>
        <vt:i4>5</vt:i4>
      </vt:variant>
      <vt:variant>
        <vt:lpwstr>http://www.planalto.gov.br/CCIVIL_03/LEIS/L9427cons.htm</vt:lpwstr>
      </vt:variant>
      <vt:variant>
        <vt:lpwstr>art25§5</vt:lpwstr>
      </vt:variant>
      <vt:variant>
        <vt:i4>6357062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http://www.planalto.gov.br/CCIVIL_03/LEIS/L9427cons.htm</vt:lpwstr>
      </vt:variant>
      <vt:variant>
        <vt:lpwstr>art15ii</vt:lpwstr>
      </vt:variant>
      <vt:variant>
        <vt:i4>7471115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http://www.planalto.gov.br/CCIVIL_03/LEIS/L9427cons.htm</vt:lpwstr>
      </vt:variant>
      <vt:variant>
        <vt:lpwstr>art3xxi</vt:lpwstr>
      </vt:variant>
      <vt:variant>
        <vt:i4>11075662</vt:i4>
      </vt:variant>
      <vt:variant>
        <vt:i4>9</vt:i4>
      </vt:variant>
      <vt:variant>
        <vt:i4>0</vt:i4>
      </vt:variant>
      <vt:variant>
        <vt:i4>5</vt:i4>
      </vt:variant>
      <vt:variant>
        <vt:lpwstr>http://www.planalto.gov.br/CCIVIL_03/LEIS/L9648cons.htm</vt:lpwstr>
      </vt:variant>
      <vt:variant>
        <vt:lpwstr>art10§3</vt:lpwstr>
      </vt:variant>
      <vt:variant>
        <vt:i4>1704133</vt:i4>
      </vt:variant>
      <vt:variant>
        <vt:i4>6</vt:i4>
      </vt:variant>
      <vt:variant>
        <vt:i4>0</vt:i4>
      </vt:variant>
      <vt:variant>
        <vt:i4>5</vt:i4>
      </vt:variant>
      <vt:variant>
        <vt:lpwstr>http://www.planalto.gov.br/CCIVIL_03/_Ato2007-2010/2009/Lei/L12111.htm</vt:lpwstr>
      </vt:variant>
      <vt:variant>
        <vt:lpwstr>art3§16</vt:lpwstr>
      </vt:variant>
      <vt:variant>
        <vt:i4>3539148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http://www.planalto.gov.br/CCIVIL_03/LEIS/L8631.htm</vt:lpwstr>
      </vt:variant>
      <vt:variant>
        <vt:lpwstr>art1§3</vt:lpwstr>
      </vt:variant>
      <vt:variant>
        <vt:i4>15990802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http://www.planalto.gov.br/CCIVIL_03/LEIS/2002/L10438.htm</vt:lpwstr>
      </vt:variant>
      <vt:variant>
        <vt:lpwstr>art13§10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creator>edmundom</dc:creator>
  <cp:lastModifiedBy>edmundom</cp:lastModifiedBy>
  <cp:revision>3</cp:revision>
  <cp:lastPrinted>2015-10-22T13:51:00Z</cp:lastPrinted>
  <dcterms:created xsi:type="dcterms:W3CDTF">2015-10-29T01:11:00Z</dcterms:created>
  <dcterms:modified xsi:type="dcterms:W3CDTF">2015-10-29T01:12:00Z</dcterms:modified>
</cp:coreProperties>
</file>