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1F" w:rsidRPr="00880DD0" w:rsidRDefault="00C10A1F" w:rsidP="00C10A1F">
      <w:pPr>
        <w:pStyle w:val="02-TtuloPrincipal-CLG"/>
      </w:pPr>
      <w:r w:rsidRPr="00880DD0">
        <w:t xml:space="preserve">PARECER Nº     </w:t>
      </w:r>
      <w:proofErr w:type="gramStart"/>
      <w:r w:rsidRPr="00880DD0">
        <w:t xml:space="preserve">  </w:t>
      </w:r>
      <w:r w:rsidR="00995BCF">
        <w:t>,</w:t>
      </w:r>
      <w:proofErr w:type="gramEnd"/>
      <w:r w:rsidR="00995BCF">
        <w:t xml:space="preserve"> DE 2015</w:t>
      </w:r>
    </w:p>
    <w:p w:rsidR="00C10A1F" w:rsidRPr="00880DD0" w:rsidRDefault="00C10A1F" w:rsidP="00C10A1F">
      <w:pPr>
        <w:pStyle w:val="03-Ementa-CLG"/>
        <w:rPr>
          <w:i/>
        </w:rPr>
      </w:pPr>
      <w:bookmarkStart w:id="0" w:name="sigla_comissao"/>
      <w:bookmarkStart w:id="1" w:name="nome_comissao"/>
      <w:r w:rsidRPr="00880DD0">
        <w:t>Da COMISSÃO</w:t>
      </w:r>
      <w:bookmarkEnd w:id="0"/>
      <w:r w:rsidRPr="00880DD0">
        <w:t xml:space="preserve"> </w:t>
      </w:r>
      <w:bookmarkEnd w:id="1"/>
      <w:r w:rsidRPr="00880DD0">
        <w:t xml:space="preserve">DE DIREITOS HUMANOS E LEGISLAÇÃO PARTICIPATIVA, sobre </w:t>
      </w:r>
      <w:r w:rsidR="00AA0D5A" w:rsidRPr="00880DD0">
        <w:t xml:space="preserve">o Projeto de Lei do Senado nº 279, de 2012, do Senador Cyro Miranda, que </w:t>
      </w:r>
      <w:r w:rsidR="00AA0D5A" w:rsidRPr="00880DD0">
        <w:rPr>
          <w:i/>
        </w:rPr>
        <w:t xml:space="preserve">altera a Lei nº 8.742, de </w:t>
      </w:r>
      <w:smartTag w:uri="urn:schemas-microsoft-com:office:smarttags" w:element="date">
        <w:smartTagPr>
          <w:attr w:name="ls" w:val="trans"/>
          <w:attr w:name="Month" w:val="12"/>
          <w:attr w:name="Day" w:val="7"/>
          <w:attr w:name="Year" w:val="1993"/>
        </w:smartTagPr>
        <w:r w:rsidR="00AA0D5A" w:rsidRPr="00880DD0">
          <w:rPr>
            <w:i/>
          </w:rPr>
          <w:t>7 de dezembro de 1993</w:t>
        </w:r>
      </w:smartTag>
      <w:r w:rsidR="00AA0D5A" w:rsidRPr="00880DD0">
        <w:rPr>
          <w:i/>
        </w:rPr>
        <w:t>, Lei Orgânica da Assistência Social, para estabelecer a idade mínima de sessenta anos para fins de recebimento do benefício de prestação continuada.</w:t>
      </w:r>
    </w:p>
    <w:p w:rsidR="00C10A1F" w:rsidRPr="00880DD0" w:rsidRDefault="00C10A1F" w:rsidP="00C10A1F">
      <w:pPr>
        <w:pStyle w:val="04-Relatoria-CLG"/>
      </w:pPr>
      <w:r w:rsidRPr="00880DD0">
        <w:t>RELATOR</w:t>
      </w:r>
      <w:r w:rsidR="003F777E">
        <w:t xml:space="preserve"> “AD HOC”</w:t>
      </w:r>
      <w:r w:rsidRPr="00880DD0">
        <w:t xml:space="preserve">: Senador </w:t>
      </w:r>
      <w:r w:rsidRPr="00880DD0">
        <w:rPr>
          <w:b/>
          <w:caps/>
        </w:rPr>
        <w:t>PAULO PAIM</w:t>
      </w:r>
      <w:r w:rsidR="00995BCF">
        <w:rPr>
          <w:b/>
          <w:caps/>
        </w:rPr>
        <w:t xml:space="preserve"> </w:t>
      </w:r>
    </w:p>
    <w:p w:rsidR="00C10A1F" w:rsidRPr="00880DD0" w:rsidRDefault="00C10A1F" w:rsidP="00C10A1F">
      <w:pPr>
        <w:pStyle w:val="05-Subttulo-CLG"/>
      </w:pPr>
      <w:r w:rsidRPr="00880DD0">
        <w:t>I – RELATÓRIO</w:t>
      </w:r>
    </w:p>
    <w:p w:rsidR="00184A1A" w:rsidRPr="00880DD0" w:rsidRDefault="00184A1A" w:rsidP="00184A1A">
      <w:pPr>
        <w:pStyle w:val="06-Pargrafodetexto-CLG"/>
      </w:pPr>
      <w:r>
        <w:t xml:space="preserve">Retorna à </w:t>
      </w:r>
      <w:r w:rsidRPr="00880DD0">
        <w:t>Comissão de Direitos Humanos e Legislação Participativa (CDH)</w:t>
      </w:r>
      <w:r>
        <w:t xml:space="preserve">, para reexame, em razão da aprovação do Requerimento nº 635, de 2015, </w:t>
      </w:r>
      <w:r w:rsidRPr="00880DD0">
        <w:t xml:space="preserve">o Projeto de Lei do Senado (PLS) nº 279, de 2012, de autoria do Senador Cyro Miranda, que tem por finalidade alterar a Lei Orgânica da Assistência Social (LOAS) </w:t>
      </w:r>
      <w:r>
        <w:t>com o objetivo de</w:t>
      </w:r>
      <w:r w:rsidRPr="00880DD0">
        <w:t xml:space="preserve"> </w:t>
      </w:r>
      <w:r>
        <w:t xml:space="preserve">reduzir de sessenta e cinco para sessenta anos a idade mínima para que o idoso </w:t>
      </w:r>
      <w:r w:rsidRPr="00880DD0">
        <w:t>que não tenha condição de prover a própria subsistência, nem de tê-la provida por sua família, possa receber o Benefício de Prestação Continuada (BPC).</w:t>
      </w:r>
    </w:p>
    <w:p w:rsidR="00184A1A" w:rsidRPr="00880DD0" w:rsidRDefault="00184A1A" w:rsidP="00184A1A">
      <w:pPr>
        <w:pStyle w:val="06-Pargrafodetexto-CLG"/>
      </w:pPr>
      <w:r>
        <w:t xml:space="preserve">O </w:t>
      </w:r>
      <w:r w:rsidRPr="00880DD0">
        <w:t xml:space="preserve">autor </w:t>
      </w:r>
      <w:r>
        <w:t xml:space="preserve">justifica </w:t>
      </w:r>
      <w:r w:rsidRPr="00880DD0">
        <w:t>a proposição</w:t>
      </w:r>
      <w:r>
        <w:t xml:space="preserve"> apontando a discrepância entre a</w:t>
      </w:r>
      <w:r w:rsidRPr="00880DD0">
        <w:t xml:space="preserve"> Lei nº 10.741, de 1º de outubro de 2003, conhecida como Estatuto do Idoso, </w:t>
      </w:r>
      <w:r>
        <w:t xml:space="preserve">que </w:t>
      </w:r>
      <w:r w:rsidRPr="00880DD0">
        <w:t>define a pessoa idosa como sendo aquela com mais de sessenta anos</w:t>
      </w:r>
      <w:r>
        <w:t>, e a Loas, que prevê o recebimento do BPC, nas condições mencionadas, a partir dos sessenta e cinco anos</w:t>
      </w:r>
      <w:r w:rsidRPr="00880DD0">
        <w:t>. A proposição pretende unificar os critérios expostos nessas duas leis, adotando a idade recomendada pela Organização Mundial da Saúde (OMS) como critério para as políticas voltadas à proteção da velhice. A vigência da proposta, se convertida em lei, será imediata.</w:t>
      </w:r>
    </w:p>
    <w:p w:rsidR="00184A1A" w:rsidRPr="00880DD0" w:rsidRDefault="00184A1A" w:rsidP="00184A1A">
      <w:pPr>
        <w:pStyle w:val="06-Pargrafodetexto-CLG"/>
      </w:pPr>
      <w:r w:rsidRPr="00880DD0">
        <w:lastRenderedPageBreak/>
        <w:t xml:space="preserve">O PLS nº 279, de 2012, foi </w:t>
      </w:r>
      <w:r>
        <w:t xml:space="preserve">inicialmente </w:t>
      </w:r>
      <w:r w:rsidRPr="00880DD0">
        <w:t xml:space="preserve">distribuído à CDH e à Comissão de Assuntos Sociais (CAS), que o </w:t>
      </w:r>
      <w:r>
        <w:t xml:space="preserve">aprovou </w:t>
      </w:r>
      <w:r w:rsidRPr="00880DD0">
        <w:t>em caráter terminativo.</w:t>
      </w:r>
      <w:r>
        <w:t xml:space="preserve"> Após a aprovação do Recurso nº 10, de 2013, a matéria foi submetida ao Plenário. Requerimentos subsequentes determinaram reexame da matéria pela CDH e pela CAS, bem como análise da proposição pela Comissão de Assuntos Econômicos (CAE), que concluiu pela sua rejeição devido ao que percebeu como sendo um desestímulo à contribuição de pessoas de menor renda para a Previdência Social, dada a garantia de recebimento do BPC, e também por identificar risco de diluição do orçamento da assistência social, limitando iniciativas como o Programa Bolsa Família.</w:t>
      </w:r>
    </w:p>
    <w:p w:rsidR="00184A1A" w:rsidRPr="003311AC" w:rsidRDefault="00184A1A" w:rsidP="00184A1A">
      <w:pPr>
        <w:pStyle w:val="06-Pargrafodetexto-CLG"/>
      </w:pPr>
      <w:r w:rsidRPr="00880DD0">
        <w:t>Não foram recebidas emendas neste colegiado.</w:t>
      </w:r>
    </w:p>
    <w:p w:rsidR="008C3592" w:rsidRPr="00880DD0" w:rsidRDefault="008C3592" w:rsidP="00C10A1F">
      <w:pPr>
        <w:pStyle w:val="06-Pargrafodetexto-CLG"/>
      </w:pPr>
    </w:p>
    <w:p w:rsidR="00C10A1F" w:rsidRPr="00880DD0" w:rsidRDefault="00C10A1F" w:rsidP="00C10A1F">
      <w:pPr>
        <w:pStyle w:val="05-Subttulo-CLG"/>
      </w:pPr>
      <w:r w:rsidRPr="00880DD0">
        <w:t>II – ANÁLISE</w:t>
      </w:r>
    </w:p>
    <w:p w:rsidR="00C10A1F" w:rsidRPr="00880DD0" w:rsidRDefault="008C3592" w:rsidP="00C10A1F">
      <w:pPr>
        <w:pStyle w:val="06-Pargrafodetexto-CLG"/>
      </w:pPr>
      <w:r w:rsidRPr="00880DD0">
        <w:t xml:space="preserve">Conforme disposto no art. 102-E, inciso VI, </w:t>
      </w:r>
      <w:r w:rsidR="00017E56" w:rsidRPr="00880DD0">
        <w:t xml:space="preserve">do Regimento Interno do Senado Federal, </w:t>
      </w:r>
      <w:r w:rsidRPr="00880DD0">
        <w:t>compete à CDH opinar sobre proposições relativas à proteção e à integração social dos idosos.</w:t>
      </w:r>
    </w:p>
    <w:p w:rsidR="00B27FAE" w:rsidRPr="00880DD0" w:rsidRDefault="00B27FAE" w:rsidP="00C10A1F">
      <w:pPr>
        <w:pStyle w:val="06-Pargrafodetexto-CLG"/>
      </w:pPr>
      <w:r w:rsidRPr="00880DD0">
        <w:rPr>
          <w:szCs w:val="28"/>
        </w:rPr>
        <w:t xml:space="preserve"> De início, compete esclarecer que a exclusão dos idosos com idade entre sessenta e sessenta e cinco anos do recebimento do BPC decorre do descompasso entre a Loas, mais antiga, e o Estatuto do Idoso, no qual a idade de sessenta anos foi fixada.</w:t>
      </w:r>
    </w:p>
    <w:p w:rsidR="00C042A6" w:rsidRPr="00880DD0" w:rsidRDefault="008C3592" w:rsidP="00C10A1F">
      <w:pPr>
        <w:pStyle w:val="06-Pargrafodetexto-CLG"/>
      </w:pPr>
      <w:r w:rsidRPr="00880DD0">
        <w:t xml:space="preserve">O mérito da proposição é evidente, pois sua conversão em lei proporcionará amparo a diversos idosos </w:t>
      </w:r>
      <w:r w:rsidR="005F5068" w:rsidRPr="00880DD0">
        <w:t xml:space="preserve">que não têm condições de prover o próprio sustento, nem de tê-lo provido por sua família. </w:t>
      </w:r>
      <w:r w:rsidR="00C042A6" w:rsidRPr="00880DD0">
        <w:t xml:space="preserve">O suplemento de renda </w:t>
      </w:r>
      <w:r w:rsidR="0066368F" w:rsidRPr="00880DD0">
        <w:t>proporcionado pelo B</w:t>
      </w:r>
      <w:r w:rsidR="00C042A6" w:rsidRPr="00880DD0">
        <w:t xml:space="preserve">PC eleva o padrão de vida desses idosos e de suas famílias, evitando </w:t>
      </w:r>
      <w:r w:rsidR="0066368F" w:rsidRPr="00880DD0">
        <w:t>que caiam n</w:t>
      </w:r>
      <w:r w:rsidR="00C042A6" w:rsidRPr="00880DD0">
        <w:t>a extrema pobreza, além de movimentar a economia nacional</w:t>
      </w:r>
      <w:r w:rsidR="0066368F" w:rsidRPr="00880DD0">
        <w:t>, pois o acompanhamento das políticas assistenciais tem demonstrado que esses recursos são utilizados quase exclusivamente na compra de medicamentos e alimentos.</w:t>
      </w:r>
    </w:p>
    <w:p w:rsidR="008C3592" w:rsidRPr="00880DD0" w:rsidRDefault="00C042A6" w:rsidP="00C10A1F">
      <w:pPr>
        <w:pStyle w:val="06-Pargrafodetexto-CLG"/>
      </w:pPr>
      <w:r w:rsidRPr="00880DD0">
        <w:t>Ademais, n</w:t>
      </w:r>
      <w:r w:rsidR="005F5068" w:rsidRPr="00880DD0">
        <w:t xml:space="preserve">ão </w:t>
      </w:r>
      <w:r w:rsidRPr="00880DD0">
        <w:t xml:space="preserve">vemos </w:t>
      </w:r>
      <w:r w:rsidR="005F5068" w:rsidRPr="00880DD0">
        <w:t xml:space="preserve">fundamento </w:t>
      </w:r>
      <w:r w:rsidRPr="00880DD0">
        <w:t xml:space="preserve">razoável </w:t>
      </w:r>
      <w:r w:rsidR="005F5068" w:rsidRPr="00880DD0">
        <w:t>para manter a falta de coesão nos critérios legais que reconhecem a condição de idoso.</w:t>
      </w:r>
    </w:p>
    <w:p w:rsidR="00C10A1F" w:rsidRPr="00880DD0" w:rsidRDefault="00C10A1F" w:rsidP="00C10A1F">
      <w:pPr>
        <w:pStyle w:val="05-Subttulo-CLG"/>
      </w:pPr>
      <w:r w:rsidRPr="00880DD0">
        <w:lastRenderedPageBreak/>
        <w:t>III – VOTO</w:t>
      </w:r>
    </w:p>
    <w:p w:rsidR="00C10A1F" w:rsidRPr="00880DD0" w:rsidRDefault="005E613F" w:rsidP="00C10A1F">
      <w:pPr>
        <w:pStyle w:val="06-Pargrafodetexto-CLG"/>
      </w:pPr>
      <w:r w:rsidRPr="00880DD0">
        <w:t xml:space="preserve">Em razão do que foi exposto, voto pela </w:t>
      </w:r>
      <w:r w:rsidRPr="00880DD0">
        <w:rPr>
          <w:b/>
        </w:rPr>
        <w:t>aprovação</w:t>
      </w:r>
      <w:r w:rsidR="00F063E4" w:rsidRPr="00880DD0">
        <w:t>, no mérito,</w:t>
      </w:r>
      <w:r w:rsidRPr="00880DD0">
        <w:rPr>
          <w:b/>
        </w:rPr>
        <w:t xml:space="preserve"> </w:t>
      </w:r>
      <w:r w:rsidRPr="00880DD0">
        <w:t>do Projeto de Lei do Senado nº 279, de 2012.</w:t>
      </w:r>
    </w:p>
    <w:p w:rsidR="00C10A1F" w:rsidRPr="00880DD0" w:rsidRDefault="00C10A1F" w:rsidP="00C10A1F">
      <w:pPr>
        <w:pStyle w:val="10-Local-CLG"/>
      </w:pPr>
      <w:r w:rsidRPr="00880DD0">
        <w:t>Sala da Comissão,</w:t>
      </w:r>
      <w:r w:rsidR="00F34209">
        <w:t xml:space="preserve"> 07 de outubro de 2015.</w:t>
      </w:r>
    </w:p>
    <w:p w:rsidR="00C10A1F" w:rsidRPr="00880DD0" w:rsidRDefault="00F34209" w:rsidP="00F34209">
      <w:pPr>
        <w:pStyle w:val="11-Assinaturas-CLG"/>
        <w:ind w:left="0"/>
        <w:jc w:val="right"/>
      </w:pPr>
      <w:r>
        <w:t>Senadora Regina Sousa</w:t>
      </w:r>
      <w:r w:rsidR="00C10A1F" w:rsidRPr="00880DD0">
        <w:t>, Presidente</w:t>
      </w:r>
      <w:r>
        <w:t xml:space="preserve"> Eventual</w:t>
      </w:r>
    </w:p>
    <w:p w:rsidR="00945250" w:rsidRPr="00C10A1F" w:rsidRDefault="00F34209" w:rsidP="00F34209">
      <w:pPr>
        <w:pStyle w:val="11-Assinaturas-CLG"/>
        <w:ind w:left="0"/>
        <w:jc w:val="right"/>
      </w:pPr>
      <w:r>
        <w:t xml:space="preserve"> Senador Paulo Paim</w:t>
      </w:r>
      <w:r w:rsidR="00C10A1F" w:rsidRPr="00880DD0">
        <w:t>, Relator</w:t>
      </w:r>
      <w:r>
        <w:t xml:space="preserve"> “ad hoc”</w:t>
      </w:r>
      <w:bookmarkStart w:id="2" w:name="_GoBack"/>
      <w:bookmarkEnd w:id="2"/>
    </w:p>
    <w:sectPr w:rsidR="00945250" w:rsidRPr="00C10A1F" w:rsidSect="00995BC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2552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FD" w:rsidRDefault="00B603FD">
      <w:r>
        <w:separator/>
      </w:r>
    </w:p>
  </w:endnote>
  <w:endnote w:type="continuationSeparator" w:id="0">
    <w:p w:rsidR="00B603FD" w:rsidRDefault="00B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D0" w:rsidRDefault="00880DD0">
    <w:pPr>
      <w:pStyle w:val="Rodap"/>
      <w:rPr>
        <w:i/>
        <w:sz w:val="18"/>
      </w:rPr>
    </w:pPr>
    <w:proofErr w:type="gramStart"/>
    <w:r>
      <w:rPr>
        <w:i/>
        <w:sz w:val="18"/>
        <w:szCs w:val="18"/>
      </w:rPr>
      <w:t>fp</w:t>
    </w:r>
    <w:proofErr w:type="gramEnd"/>
    <w:r>
      <w:rPr>
        <w:i/>
        <w:sz w:val="18"/>
        <w:szCs w:val="18"/>
      </w:rPr>
      <w:t>2012-07434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D0" w:rsidRPr="00342E7D" w:rsidRDefault="00880DD0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FD" w:rsidRDefault="00B603FD">
      <w:r>
        <w:separator/>
      </w:r>
    </w:p>
  </w:footnote>
  <w:footnote w:type="continuationSeparator" w:id="0">
    <w:p w:rsidR="00B603FD" w:rsidRDefault="00B6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D0" w:rsidRDefault="00400274" w:rsidP="00C10A1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0D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DD0" w:rsidRDefault="00880DD0">
    <w:pPr>
      <w:pStyle w:val="Cabealho"/>
      <w:ind w:right="360"/>
    </w:pPr>
  </w:p>
  <w:p w:rsidR="00880DD0" w:rsidRDefault="00880D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D0" w:rsidRDefault="00400274" w:rsidP="00C10A1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0DD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420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80DD0" w:rsidRDefault="00880DD0">
    <w:pPr>
      <w:pStyle w:val="Cabealho"/>
      <w:ind w:right="360"/>
    </w:pPr>
  </w:p>
  <w:p w:rsidR="00880DD0" w:rsidRDefault="00880D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1F"/>
    <w:rsid w:val="00017E56"/>
    <w:rsid w:val="00101B82"/>
    <w:rsid w:val="00170DD6"/>
    <w:rsid w:val="00184A1A"/>
    <w:rsid w:val="00284B2E"/>
    <w:rsid w:val="003660DE"/>
    <w:rsid w:val="003C3CC9"/>
    <w:rsid w:val="003F777E"/>
    <w:rsid w:val="00400274"/>
    <w:rsid w:val="004D064D"/>
    <w:rsid w:val="005E613F"/>
    <w:rsid w:val="005F4F0D"/>
    <w:rsid w:val="005F5068"/>
    <w:rsid w:val="006009F1"/>
    <w:rsid w:val="0066368F"/>
    <w:rsid w:val="006C7E29"/>
    <w:rsid w:val="007A2C01"/>
    <w:rsid w:val="00880DD0"/>
    <w:rsid w:val="008C3592"/>
    <w:rsid w:val="008D1652"/>
    <w:rsid w:val="00945250"/>
    <w:rsid w:val="009653A1"/>
    <w:rsid w:val="00965FA4"/>
    <w:rsid w:val="00980337"/>
    <w:rsid w:val="00995BCF"/>
    <w:rsid w:val="00A447FD"/>
    <w:rsid w:val="00A514F5"/>
    <w:rsid w:val="00A7513C"/>
    <w:rsid w:val="00A8047C"/>
    <w:rsid w:val="00AA0D5A"/>
    <w:rsid w:val="00AA1E37"/>
    <w:rsid w:val="00AC1538"/>
    <w:rsid w:val="00B27FAE"/>
    <w:rsid w:val="00B603FD"/>
    <w:rsid w:val="00B87030"/>
    <w:rsid w:val="00C042A6"/>
    <w:rsid w:val="00C10A1F"/>
    <w:rsid w:val="00C66D75"/>
    <w:rsid w:val="00CA5EBA"/>
    <w:rsid w:val="00D57376"/>
    <w:rsid w:val="00E60983"/>
    <w:rsid w:val="00E72E8A"/>
    <w:rsid w:val="00ED4D57"/>
    <w:rsid w:val="00F063E4"/>
    <w:rsid w:val="00F34209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409F068-4E68-4860-9348-74FF703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10A1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10A1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C10A1F"/>
  </w:style>
  <w:style w:type="paragraph" w:customStyle="1" w:styleId="01-Minuta-CLG">
    <w:name w:val="01 - Minuta - CLG"/>
    <w:link w:val="01-Minuta-CLGChar"/>
    <w:rsid w:val="00C10A1F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C10A1F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C10A1F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link w:val="03-Ementa-CLG"/>
    <w:rsid w:val="00C10A1F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C10A1F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C10A1F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C10A1F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link w:val="01-Minuta-CLG"/>
    <w:rsid w:val="00C10A1F"/>
    <w:rPr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C10A1F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C10A1F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link w:val="02-TtuloPrincipal-CLG"/>
    <w:rsid w:val="00C10A1F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link w:val="04-Relatoria-CLG"/>
    <w:rsid w:val="00C10A1F"/>
    <w:rPr>
      <w:sz w:val="28"/>
      <w:lang w:val="pt-BR" w:eastAsia="pt-BR" w:bidi="ar-SA"/>
    </w:rPr>
  </w:style>
  <w:style w:type="character" w:customStyle="1" w:styleId="05-Subttulo-CLGChar">
    <w:name w:val="05 - Subtítulo - CLG Char"/>
    <w:link w:val="05-Subttulo-CLG"/>
    <w:rsid w:val="00C10A1F"/>
    <w:rPr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link w:val="06-Pargrafodetexto-CLG"/>
    <w:rsid w:val="00C10A1F"/>
    <w:rPr>
      <w:sz w:val="28"/>
      <w:lang w:val="pt-BR" w:eastAsia="pt-BR" w:bidi="ar-SA"/>
    </w:rPr>
  </w:style>
  <w:style w:type="character" w:customStyle="1" w:styleId="10-Local-CLGChar">
    <w:name w:val="10 - Local - CLG Char"/>
    <w:link w:val="10-Local-CLG"/>
    <w:rsid w:val="00C10A1F"/>
    <w:rPr>
      <w:sz w:val="28"/>
      <w:lang w:val="pt-BR" w:eastAsia="pt-BR" w:bidi="ar-SA"/>
    </w:rPr>
  </w:style>
  <w:style w:type="character" w:customStyle="1" w:styleId="11-Assinaturas-CLGChar">
    <w:name w:val="11 - Assinaturas - CLG Char"/>
    <w:link w:val="11-Assinaturas-CLG"/>
    <w:rsid w:val="00C10A1F"/>
    <w:rPr>
      <w:sz w:val="28"/>
      <w:lang w:val="pt-BR" w:eastAsia="pt-BR" w:bidi="ar-SA"/>
    </w:rPr>
  </w:style>
  <w:style w:type="paragraph" w:customStyle="1" w:styleId="07-Citaolegal-CLG">
    <w:name w:val="07 - Citação legal - CLG"/>
    <w:rsid w:val="00C10A1F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rsid w:val="00C10A1F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rsid w:val="00C10A1F"/>
    <w:pPr>
      <w:spacing w:before="480" w:after="360"/>
      <w:jc w:val="center"/>
    </w:pPr>
    <w:rPr>
      <w:b/>
      <w:bCs/>
      <w:spacing w:val="-4"/>
      <w:sz w:val="28"/>
    </w:rPr>
  </w:style>
  <w:style w:type="paragraph" w:styleId="Textodebalo">
    <w:name w:val="Balloon Text"/>
    <w:basedOn w:val="Normal"/>
    <w:semiHidden/>
    <w:rsid w:val="00AC153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F063E4"/>
    <w:rPr>
      <w:sz w:val="16"/>
      <w:szCs w:val="16"/>
    </w:rPr>
  </w:style>
  <w:style w:type="paragraph" w:styleId="Textodecomentrio">
    <w:name w:val="annotation text"/>
    <w:basedOn w:val="Normal"/>
    <w:semiHidden/>
    <w:rsid w:val="00F063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06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fbasile</dc:creator>
  <cp:lastModifiedBy>Silvana Egídio Mendonça Costa</cp:lastModifiedBy>
  <cp:revision>3</cp:revision>
  <dcterms:created xsi:type="dcterms:W3CDTF">2015-10-13T16:51:00Z</dcterms:created>
  <dcterms:modified xsi:type="dcterms:W3CDTF">2015-10-13T16:52:00Z</dcterms:modified>
</cp:coreProperties>
</file>