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02" w:rsidRPr="00856E0D" w:rsidRDefault="00157A02">
      <w:pPr>
        <w:pStyle w:val="Ttulo2"/>
        <w:jc w:val="both"/>
      </w:pPr>
      <w:r w:rsidRPr="00856E0D">
        <w:t xml:space="preserve">COMISSÃO MISTA DESTINADA A ANALISAR E EMITIR PARECER ACERCA DA MEDIDA PROVISÓRIA Nº </w:t>
      </w:r>
      <w:r w:rsidR="00EF3887">
        <w:t>682</w:t>
      </w:r>
      <w:r w:rsidRPr="00856E0D">
        <w:t>, DE 201</w:t>
      </w:r>
      <w:r w:rsidR="00EF3887">
        <w:t>5</w:t>
      </w:r>
    </w:p>
    <w:p w:rsidR="00157A02" w:rsidRPr="00856E0D" w:rsidRDefault="00157A02">
      <w:pPr>
        <w:pStyle w:val="Ttulo2"/>
        <w:widowControl/>
        <w:spacing w:before="1080" w:after="0"/>
      </w:pPr>
      <w:r w:rsidRPr="00856E0D">
        <w:t>MEDIDA PROVISÓRIA N</w:t>
      </w:r>
      <w:r w:rsidRPr="00856E0D">
        <w:rPr>
          <w:u w:val="single"/>
          <w:vertAlign w:val="superscript"/>
        </w:rPr>
        <w:t>o</w:t>
      </w:r>
      <w:r w:rsidRPr="00856E0D">
        <w:t xml:space="preserve"> </w:t>
      </w:r>
      <w:r w:rsidR="00EF3887">
        <w:t>682</w:t>
      </w:r>
      <w:r w:rsidRPr="00856E0D">
        <w:t>, DE 201</w:t>
      </w:r>
      <w:r w:rsidR="00EF3887">
        <w:t>5</w:t>
      </w:r>
    </w:p>
    <w:p w:rsidR="00157A02" w:rsidRPr="00856E0D" w:rsidRDefault="00157A02">
      <w:pPr>
        <w:spacing w:line="360" w:lineRule="exact"/>
        <w:jc w:val="center"/>
        <w:rPr>
          <w:b/>
          <w:snapToGrid w:val="0"/>
          <w:color w:val="000000"/>
          <w:sz w:val="24"/>
        </w:rPr>
      </w:pPr>
    </w:p>
    <w:p w:rsidR="00157A02" w:rsidRPr="00856E0D" w:rsidRDefault="00157A02">
      <w:pPr>
        <w:spacing w:line="360" w:lineRule="exact"/>
        <w:jc w:val="center"/>
        <w:rPr>
          <w:b/>
          <w:snapToGrid w:val="0"/>
          <w:color w:val="000000"/>
          <w:sz w:val="24"/>
        </w:rPr>
      </w:pPr>
    </w:p>
    <w:p w:rsidR="00157A02" w:rsidRPr="00856E0D" w:rsidRDefault="00EF3887">
      <w:pPr>
        <w:spacing w:line="360" w:lineRule="exact"/>
        <w:ind w:left="4322" w:hanging="2"/>
        <w:jc w:val="both"/>
        <w:rPr>
          <w:snapToGrid w:val="0"/>
          <w:color w:val="000000"/>
          <w:sz w:val="24"/>
        </w:rPr>
      </w:pPr>
      <w:r w:rsidRPr="00EF3887">
        <w:rPr>
          <w:snapToGrid w:val="0"/>
          <w:color w:val="000000"/>
          <w:sz w:val="24"/>
        </w:rPr>
        <w:t>Altera a Lei n</w:t>
      </w:r>
      <w:r>
        <w:rPr>
          <w:snapToGrid w:val="0"/>
          <w:color w:val="000000"/>
          <w:sz w:val="24"/>
        </w:rPr>
        <w:t>º</w:t>
      </w:r>
      <w:r w:rsidRPr="00EF3887">
        <w:rPr>
          <w:snapToGrid w:val="0"/>
          <w:color w:val="000000"/>
          <w:sz w:val="24"/>
        </w:rPr>
        <w:t xml:space="preserve"> 12.712, de 30 de agosto de 2012, para estabelecer que a Agência Brasileira Gestora de Fundos Garantidores e Garantias S.A. </w:t>
      </w:r>
      <w:r>
        <w:rPr>
          <w:snapToGrid w:val="0"/>
          <w:color w:val="000000"/>
          <w:sz w:val="24"/>
        </w:rPr>
        <w:t>–</w:t>
      </w:r>
      <w:r w:rsidRPr="00EF3887">
        <w:rPr>
          <w:snapToGrid w:val="0"/>
          <w:color w:val="000000"/>
          <w:sz w:val="24"/>
        </w:rPr>
        <w:t xml:space="preserve"> ABGF ficará encarregada da gestão do Fundo de Estabilidade do Seguro Rural </w:t>
      </w:r>
      <w:r>
        <w:rPr>
          <w:snapToGrid w:val="0"/>
          <w:color w:val="000000"/>
          <w:sz w:val="24"/>
        </w:rPr>
        <w:t>–</w:t>
      </w:r>
      <w:r w:rsidRPr="00EF3887">
        <w:rPr>
          <w:snapToGrid w:val="0"/>
          <w:color w:val="000000"/>
          <w:sz w:val="24"/>
        </w:rPr>
        <w:t xml:space="preserve"> FESR</w:t>
      </w:r>
      <w:r>
        <w:rPr>
          <w:snapToGrid w:val="0"/>
          <w:color w:val="000000"/>
          <w:sz w:val="24"/>
        </w:rPr>
        <w:t xml:space="preserve"> </w:t>
      </w:r>
      <w:r w:rsidRPr="00EF3887">
        <w:rPr>
          <w:snapToGrid w:val="0"/>
          <w:color w:val="000000"/>
          <w:sz w:val="24"/>
        </w:rPr>
        <w:t>até a completa liquidação das obrigações deste Fundo.</w:t>
      </w:r>
      <w:r w:rsidR="00157A02" w:rsidRPr="00856E0D">
        <w:rPr>
          <w:snapToGrid w:val="0"/>
          <w:color w:val="000000"/>
          <w:sz w:val="24"/>
        </w:rPr>
        <w:t xml:space="preserve"> </w:t>
      </w:r>
    </w:p>
    <w:p w:rsidR="00157A02" w:rsidRPr="00856E0D" w:rsidRDefault="00157A02">
      <w:pPr>
        <w:autoSpaceDE w:val="0"/>
        <w:autoSpaceDN w:val="0"/>
        <w:adjustRightInd w:val="0"/>
        <w:ind w:left="4320"/>
        <w:jc w:val="both"/>
      </w:pPr>
    </w:p>
    <w:p w:rsidR="00157A02" w:rsidRPr="00856E0D" w:rsidRDefault="00157A02">
      <w:pPr>
        <w:autoSpaceDE w:val="0"/>
        <w:autoSpaceDN w:val="0"/>
        <w:adjustRightInd w:val="0"/>
        <w:ind w:left="4320"/>
        <w:jc w:val="both"/>
      </w:pPr>
    </w:p>
    <w:p w:rsidR="00157A02" w:rsidRPr="00856E0D" w:rsidRDefault="00157A02">
      <w:pPr>
        <w:autoSpaceDE w:val="0"/>
        <w:autoSpaceDN w:val="0"/>
        <w:adjustRightInd w:val="0"/>
        <w:ind w:left="4320"/>
        <w:jc w:val="both"/>
      </w:pPr>
    </w:p>
    <w:p w:rsidR="00157A02" w:rsidRPr="00856E0D" w:rsidRDefault="00157A02">
      <w:pPr>
        <w:spacing w:line="360" w:lineRule="exact"/>
        <w:ind w:left="4490" w:hanging="748"/>
        <w:jc w:val="both"/>
        <w:rPr>
          <w:snapToGrid w:val="0"/>
          <w:color w:val="000000"/>
          <w:sz w:val="24"/>
        </w:rPr>
      </w:pPr>
      <w:r w:rsidRPr="00856E0D">
        <w:rPr>
          <w:b/>
          <w:snapToGrid w:val="0"/>
          <w:color w:val="000000"/>
          <w:sz w:val="24"/>
        </w:rPr>
        <w:t>Autor</w:t>
      </w:r>
      <w:r w:rsidRPr="00856E0D">
        <w:rPr>
          <w:snapToGrid w:val="0"/>
          <w:color w:val="000000"/>
          <w:sz w:val="24"/>
        </w:rPr>
        <w:t xml:space="preserve">:    PODER EXECUTIVO </w:t>
      </w:r>
    </w:p>
    <w:p w:rsidR="00157A02" w:rsidRPr="00856E0D" w:rsidRDefault="00157A02">
      <w:pPr>
        <w:spacing w:line="360" w:lineRule="exact"/>
        <w:ind w:left="4680" w:hanging="936"/>
        <w:jc w:val="both"/>
        <w:rPr>
          <w:snapToGrid w:val="0"/>
          <w:color w:val="000000"/>
          <w:sz w:val="24"/>
        </w:rPr>
      </w:pPr>
      <w:r w:rsidRPr="00856E0D">
        <w:rPr>
          <w:b/>
          <w:snapToGrid w:val="0"/>
          <w:color w:val="000000"/>
          <w:sz w:val="24"/>
        </w:rPr>
        <w:t>Relator</w:t>
      </w:r>
      <w:r w:rsidRPr="00856E0D">
        <w:rPr>
          <w:snapToGrid w:val="0"/>
          <w:color w:val="000000"/>
          <w:sz w:val="24"/>
        </w:rPr>
        <w:t xml:space="preserve">: Deputado </w:t>
      </w:r>
      <w:r w:rsidR="00EF3887">
        <w:rPr>
          <w:snapToGrid w:val="0"/>
          <w:color w:val="000000"/>
          <w:sz w:val="24"/>
        </w:rPr>
        <w:t>ASSIS CARVALHO</w:t>
      </w:r>
    </w:p>
    <w:p w:rsidR="00157A02" w:rsidRPr="00856E0D" w:rsidRDefault="00157A02">
      <w:pPr>
        <w:pStyle w:val="Ttulo3"/>
        <w:keepNext w:val="0"/>
      </w:pPr>
      <w:r w:rsidRPr="00856E0D">
        <w:t>I – RELATÓRIO</w:t>
      </w:r>
    </w:p>
    <w:p w:rsidR="00157A02" w:rsidRDefault="00157A02">
      <w:pPr>
        <w:pStyle w:val="Recuodecorpodetexto2"/>
        <w:spacing w:after="160"/>
        <w:ind w:firstLine="1418"/>
        <w:rPr>
          <w:snapToGrid w:val="0"/>
          <w:color w:val="000000"/>
        </w:rPr>
      </w:pPr>
      <w:r w:rsidRPr="00856E0D">
        <w:lastRenderedPageBreak/>
        <w:t xml:space="preserve"> Nos termos do art. 62 da Constituição Federal, com a redação que lhe foi atribuída pela Emenda Constitucional nº 32, de 11 de setembro de 2001, a Excelentíssima Senhora Presidenta da República, por meio da Mensagem nº </w:t>
      </w:r>
      <w:r w:rsidR="00EF3887">
        <w:t>255</w:t>
      </w:r>
      <w:r w:rsidRPr="00856E0D">
        <w:t xml:space="preserve">, de </w:t>
      </w:r>
      <w:r w:rsidR="00EF3887">
        <w:t>1</w:t>
      </w:r>
      <w:r w:rsidRPr="00856E0D">
        <w:t xml:space="preserve">0 de </w:t>
      </w:r>
      <w:r w:rsidR="00EF3887">
        <w:t>julho</w:t>
      </w:r>
      <w:r w:rsidRPr="00856E0D">
        <w:t xml:space="preserve"> de 201</w:t>
      </w:r>
      <w:r w:rsidR="00EF3887">
        <w:t>5</w:t>
      </w:r>
      <w:r w:rsidRPr="00856E0D">
        <w:t xml:space="preserve">, submeteu à deliberação do Congresso Nacional a Medida Provisória nº </w:t>
      </w:r>
      <w:r w:rsidR="00EF3887">
        <w:t>682</w:t>
      </w:r>
      <w:r w:rsidRPr="00856E0D">
        <w:t>, de 201</w:t>
      </w:r>
      <w:r w:rsidR="00EF3887">
        <w:t>5</w:t>
      </w:r>
      <w:r w:rsidRPr="00856E0D">
        <w:t>, que</w:t>
      </w:r>
      <w:r w:rsidR="00EF3887">
        <w:t xml:space="preserve"> a</w:t>
      </w:r>
      <w:r w:rsidR="00EF3887" w:rsidRPr="00EF3887">
        <w:rPr>
          <w:snapToGrid w:val="0"/>
          <w:color w:val="000000"/>
        </w:rPr>
        <w:t>ltera a Lei n</w:t>
      </w:r>
      <w:r w:rsidR="00EF3887">
        <w:rPr>
          <w:snapToGrid w:val="0"/>
          <w:color w:val="000000"/>
        </w:rPr>
        <w:t>º</w:t>
      </w:r>
      <w:r w:rsidR="00EF3887" w:rsidRPr="00EF3887">
        <w:rPr>
          <w:snapToGrid w:val="0"/>
          <w:color w:val="000000"/>
        </w:rPr>
        <w:t xml:space="preserve"> 12.712, de 30 de agosto de 2012, para estabelecer que a Agência Brasileira Gestora de Fundos Garantidores e Garantias S.A. </w:t>
      </w:r>
      <w:r w:rsidR="00EF3887">
        <w:rPr>
          <w:snapToGrid w:val="0"/>
          <w:color w:val="000000"/>
        </w:rPr>
        <w:t>(</w:t>
      </w:r>
      <w:r w:rsidR="00EF3887" w:rsidRPr="00EF3887">
        <w:rPr>
          <w:snapToGrid w:val="0"/>
          <w:color w:val="000000"/>
        </w:rPr>
        <w:t>ABGF</w:t>
      </w:r>
      <w:r w:rsidR="00EF3887">
        <w:rPr>
          <w:snapToGrid w:val="0"/>
          <w:color w:val="000000"/>
        </w:rPr>
        <w:t>)</w:t>
      </w:r>
      <w:r w:rsidR="00EF3887" w:rsidRPr="00EF3887">
        <w:rPr>
          <w:snapToGrid w:val="0"/>
          <w:color w:val="000000"/>
        </w:rPr>
        <w:t xml:space="preserve"> ficará encarregada da gestão do Fundo de Estabilidade do Seguro Rural </w:t>
      </w:r>
      <w:r w:rsidR="00EF3887">
        <w:rPr>
          <w:snapToGrid w:val="0"/>
          <w:color w:val="000000"/>
        </w:rPr>
        <w:t>(</w:t>
      </w:r>
      <w:r w:rsidR="00EF3887" w:rsidRPr="00EF3887">
        <w:rPr>
          <w:snapToGrid w:val="0"/>
          <w:color w:val="000000"/>
        </w:rPr>
        <w:t>FESR</w:t>
      </w:r>
      <w:r w:rsidR="00EF3887">
        <w:rPr>
          <w:snapToGrid w:val="0"/>
          <w:color w:val="000000"/>
        </w:rPr>
        <w:t xml:space="preserve">) </w:t>
      </w:r>
      <w:r w:rsidR="00EF3887" w:rsidRPr="00EF3887">
        <w:rPr>
          <w:snapToGrid w:val="0"/>
          <w:color w:val="000000"/>
        </w:rPr>
        <w:t>até a completa liquidação das obrigações des</w:t>
      </w:r>
      <w:r w:rsidR="00EF3887">
        <w:rPr>
          <w:snapToGrid w:val="0"/>
          <w:color w:val="000000"/>
        </w:rPr>
        <w:t>s</w:t>
      </w:r>
      <w:r w:rsidR="00EF3887" w:rsidRPr="00EF3887">
        <w:rPr>
          <w:snapToGrid w:val="0"/>
          <w:color w:val="000000"/>
        </w:rPr>
        <w:t>e Fundo</w:t>
      </w:r>
      <w:r w:rsidR="002309F7">
        <w:rPr>
          <w:snapToGrid w:val="0"/>
          <w:color w:val="000000"/>
        </w:rPr>
        <w:t>.</w:t>
      </w:r>
    </w:p>
    <w:p w:rsidR="00054979" w:rsidRPr="00054979" w:rsidRDefault="00054979" w:rsidP="00054979">
      <w:pPr>
        <w:pStyle w:val="Recuodecorpodetexto2"/>
        <w:spacing w:after="160"/>
        <w:ind w:firstLine="1418"/>
        <w:rPr>
          <w:snapToGrid w:val="0"/>
          <w:color w:val="000000"/>
        </w:rPr>
      </w:pPr>
      <w:r w:rsidRPr="00054979">
        <w:rPr>
          <w:snapToGrid w:val="0"/>
          <w:color w:val="000000"/>
        </w:rPr>
        <w:t xml:space="preserve">Em </w:t>
      </w:r>
      <w:r>
        <w:rPr>
          <w:snapToGrid w:val="0"/>
          <w:color w:val="000000"/>
        </w:rPr>
        <w:t>15</w:t>
      </w:r>
      <w:r w:rsidRPr="00054979">
        <w:rPr>
          <w:snapToGrid w:val="0"/>
          <w:color w:val="000000"/>
        </w:rPr>
        <w:t xml:space="preserve"> de ju</w:t>
      </w:r>
      <w:r>
        <w:rPr>
          <w:snapToGrid w:val="0"/>
          <w:color w:val="000000"/>
        </w:rPr>
        <w:t>l</w:t>
      </w:r>
      <w:r w:rsidRPr="00054979">
        <w:rPr>
          <w:snapToGrid w:val="0"/>
          <w:color w:val="000000"/>
        </w:rPr>
        <w:t>ho de 2015, foi constituída a Comissão Mista do Congresso Nacional encarregada de examinar a MPV para debater e instruir a matéria e sobre ela emitir parecer, conforme determina o art. 62, § 9º, da C</w:t>
      </w:r>
      <w:r w:rsidR="002309F7">
        <w:rPr>
          <w:snapToGrid w:val="0"/>
          <w:color w:val="000000"/>
        </w:rPr>
        <w:t>onstitui</w:t>
      </w:r>
      <w:r w:rsidR="002E1B46">
        <w:rPr>
          <w:snapToGrid w:val="0"/>
          <w:color w:val="000000"/>
        </w:rPr>
        <w:t>ç</w:t>
      </w:r>
      <w:r w:rsidR="002309F7">
        <w:rPr>
          <w:snapToGrid w:val="0"/>
          <w:color w:val="000000"/>
        </w:rPr>
        <w:t>ão Federal</w:t>
      </w:r>
      <w:r w:rsidRPr="00054979">
        <w:rPr>
          <w:snapToGrid w:val="0"/>
          <w:color w:val="000000"/>
        </w:rPr>
        <w:t xml:space="preserve">, nos termos dos arts. 2º e 3º da Resolução nº 1, de 2002-CN e do art. 10-A do Regimento Comum do Congresso Nacional (RCCN). </w:t>
      </w:r>
    </w:p>
    <w:p w:rsidR="00054979" w:rsidRPr="00856E0D" w:rsidRDefault="00054979" w:rsidP="00054979">
      <w:pPr>
        <w:pStyle w:val="Recuodecorpodetexto2"/>
        <w:spacing w:after="160"/>
        <w:ind w:firstLine="1418"/>
        <w:rPr>
          <w:snapToGrid w:val="0"/>
          <w:color w:val="000000"/>
        </w:rPr>
      </w:pPr>
      <w:r w:rsidRPr="00054979">
        <w:rPr>
          <w:snapToGrid w:val="0"/>
          <w:color w:val="000000"/>
        </w:rPr>
        <w:t>Em 12 de agosto de 2015, a Comissão Mista foi instalada. Foram eleitos: o Sen</w:t>
      </w:r>
      <w:r w:rsidR="008030F3">
        <w:rPr>
          <w:snapToGrid w:val="0"/>
          <w:color w:val="000000"/>
        </w:rPr>
        <w:t>a</w:t>
      </w:r>
      <w:r w:rsidRPr="00054979">
        <w:rPr>
          <w:snapToGrid w:val="0"/>
          <w:color w:val="000000"/>
        </w:rPr>
        <w:t xml:space="preserve">dor Acir Gurgacz para Presidente e o Deputado Manoel Junior para Vice-Presidente; e designados Relator </w:t>
      </w:r>
      <w:r w:rsidR="00ED14B3">
        <w:rPr>
          <w:snapToGrid w:val="0"/>
          <w:color w:val="000000"/>
        </w:rPr>
        <w:t xml:space="preserve">este </w:t>
      </w:r>
      <w:r w:rsidRPr="00054979">
        <w:rPr>
          <w:snapToGrid w:val="0"/>
          <w:color w:val="000000"/>
        </w:rPr>
        <w:t>Deputado e Relator-Revisor o Senador Telmário Mota.</w:t>
      </w:r>
    </w:p>
    <w:p w:rsidR="00157A02" w:rsidRPr="00856E0D" w:rsidRDefault="00157A02">
      <w:pPr>
        <w:pStyle w:val="Recuodecorpodetexto2"/>
        <w:spacing w:after="160"/>
        <w:ind w:firstLine="1418"/>
        <w:rPr>
          <w:snapToGrid w:val="0"/>
          <w:color w:val="000000"/>
        </w:rPr>
      </w:pPr>
      <w:r w:rsidRPr="00856E0D">
        <w:rPr>
          <w:snapToGrid w:val="0"/>
          <w:color w:val="000000"/>
        </w:rPr>
        <w:t xml:space="preserve">No decorrer do prazo regimental, foram oferecidas vinte e </w:t>
      </w:r>
      <w:r w:rsidR="008B4196">
        <w:rPr>
          <w:snapToGrid w:val="0"/>
          <w:color w:val="000000"/>
        </w:rPr>
        <w:t>sete</w:t>
      </w:r>
      <w:r w:rsidRPr="00856E0D">
        <w:rPr>
          <w:snapToGrid w:val="0"/>
          <w:color w:val="000000"/>
        </w:rPr>
        <w:t xml:space="preserve"> emendas à medida provisória, </w:t>
      </w:r>
      <w:r w:rsidR="00054979">
        <w:rPr>
          <w:snapToGrid w:val="0"/>
          <w:color w:val="000000"/>
        </w:rPr>
        <w:t>conforme quadro a seguir</w:t>
      </w:r>
      <w:r w:rsidRPr="00856E0D">
        <w:rPr>
          <w:snapToGrid w:val="0"/>
          <w:color w:val="00000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23"/>
        <w:gridCol w:w="4323"/>
      </w:tblGrid>
      <w:tr w:rsidR="00157A02" w:rsidRPr="00856E0D">
        <w:tblPrEx>
          <w:tblCellMar>
            <w:top w:w="0" w:type="dxa"/>
            <w:bottom w:w="0" w:type="dxa"/>
          </w:tblCellMar>
        </w:tblPrEx>
        <w:tc>
          <w:tcPr>
            <w:tcW w:w="4323" w:type="dxa"/>
          </w:tcPr>
          <w:p w:rsidR="00157A02" w:rsidRPr="00856E0D" w:rsidRDefault="00157A02">
            <w:pPr>
              <w:pStyle w:val="Recuodecorpodetexto2"/>
              <w:spacing w:after="160"/>
              <w:ind w:firstLine="0"/>
              <w:jc w:val="center"/>
              <w:rPr>
                <w:snapToGrid w:val="0"/>
              </w:rPr>
            </w:pPr>
            <w:r w:rsidRPr="00856E0D">
              <w:rPr>
                <w:b/>
              </w:rPr>
              <w:t>Parlamentar</w:t>
            </w:r>
          </w:p>
        </w:tc>
        <w:tc>
          <w:tcPr>
            <w:tcW w:w="4323" w:type="dxa"/>
          </w:tcPr>
          <w:p w:rsidR="00157A02" w:rsidRPr="00856E0D" w:rsidRDefault="00157A02">
            <w:pPr>
              <w:pStyle w:val="Recuodecorpodetexto2"/>
              <w:spacing w:after="160"/>
              <w:ind w:firstLine="0"/>
              <w:jc w:val="center"/>
              <w:rPr>
                <w:snapToGrid w:val="0"/>
              </w:rPr>
            </w:pPr>
            <w:r w:rsidRPr="00856E0D">
              <w:rPr>
                <w:b/>
              </w:rPr>
              <w:t>EMENDAS</w:t>
            </w:r>
            <w:r w:rsidRPr="00856E0D">
              <w:rPr>
                <w:b/>
              </w:rPr>
              <w:tab/>
              <w:t>Nº</w:t>
            </w:r>
          </w:p>
        </w:tc>
      </w:tr>
      <w:tr w:rsidR="00157A02" w:rsidRPr="00856E0D">
        <w:tblPrEx>
          <w:tblCellMar>
            <w:top w:w="0" w:type="dxa"/>
            <w:bottom w:w="0" w:type="dxa"/>
          </w:tblCellMar>
        </w:tblPrEx>
        <w:trPr>
          <w:trHeight w:val="340"/>
        </w:trPr>
        <w:tc>
          <w:tcPr>
            <w:tcW w:w="4323" w:type="dxa"/>
            <w:vAlign w:val="center"/>
          </w:tcPr>
          <w:p w:rsidR="00157A02" w:rsidRPr="00856E0D" w:rsidRDefault="005B37A9" w:rsidP="005B37A9">
            <w:pPr>
              <w:autoSpaceDE w:val="0"/>
              <w:autoSpaceDN w:val="0"/>
              <w:adjustRightInd w:val="0"/>
            </w:pPr>
            <w:r>
              <w:t>Senador</w:t>
            </w:r>
            <w:r w:rsidR="00157A02" w:rsidRPr="00856E0D">
              <w:t xml:space="preserve"> </w:t>
            </w:r>
            <w:r>
              <w:t>EDUARDO AMORIM</w:t>
            </w:r>
          </w:p>
        </w:tc>
        <w:tc>
          <w:tcPr>
            <w:tcW w:w="4323" w:type="dxa"/>
            <w:vAlign w:val="center"/>
          </w:tcPr>
          <w:p w:rsidR="00157A02" w:rsidRPr="00856E0D" w:rsidRDefault="00157A02" w:rsidP="005B37A9">
            <w:pPr>
              <w:autoSpaceDE w:val="0"/>
              <w:autoSpaceDN w:val="0"/>
              <w:adjustRightInd w:val="0"/>
            </w:pPr>
            <w:r w:rsidRPr="00856E0D">
              <w:t>001</w:t>
            </w:r>
            <w:r w:rsidR="005B37A9">
              <w:t>;</w:t>
            </w:r>
          </w:p>
        </w:tc>
      </w:tr>
      <w:tr w:rsidR="00157A02" w:rsidRPr="00856E0D">
        <w:tblPrEx>
          <w:tblCellMar>
            <w:top w:w="0" w:type="dxa"/>
            <w:bottom w:w="0" w:type="dxa"/>
          </w:tblCellMar>
        </w:tblPrEx>
        <w:trPr>
          <w:trHeight w:val="340"/>
        </w:trPr>
        <w:tc>
          <w:tcPr>
            <w:tcW w:w="4323" w:type="dxa"/>
            <w:vAlign w:val="center"/>
          </w:tcPr>
          <w:p w:rsidR="00157A02" w:rsidRPr="00856E0D" w:rsidRDefault="005B37A9" w:rsidP="005B37A9">
            <w:pPr>
              <w:pStyle w:val="Cabealho"/>
              <w:tabs>
                <w:tab w:val="clear" w:pos="4419"/>
                <w:tab w:val="clear" w:pos="8838"/>
              </w:tabs>
              <w:autoSpaceDE w:val="0"/>
              <w:autoSpaceDN w:val="0"/>
              <w:adjustRightInd w:val="0"/>
            </w:pPr>
            <w:r>
              <w:t>Senadora ANA AMÉLIA</w:t>
            </w:r>
          </w:p>
        </w:tc>
        <w:tc>
          <w:tcPr>
            <w:tcW w:w="4323" w:type="dxa"/>
            <w:vAlign w:val="center"/>
          </w:tcPr>
          <w:p w:rsidR="00157A02" w:rsidRPr="00856E0D" w:rsidRDefault="00157A02" w:rsidP="005B37A9">
            <w:pPr>
              <w:autoSpaceDE w:val="0"/>
              <w:autoSpaceDN w:val="0"/>
              <w:adjustRightInd w:val="0"/>
            </w:pPr>
            <w:r w:rsidRPr="00856E0D">
              <w:t>00</w:t>
            </w:r>
            <w:r w:rsidR="005B37A9">
              <w:t>2;</w:t>
            </w:r>
          </w:p>
        </w:tc>
      </w:tr>
      <w:tr w:rsidR="00157A02" w:rsidRPr="00856E0D">
        <w:tblPrEx>
          <w:tblCellMar>
            <w:top w:w="0" w:type="dxa"/>
            <w:bottom w:w="0" w:type="dxa"/>
          </w:tblCellMar>
        </w:tblPrEx>
        <w:trPr>
          <w:trHeight w:val="340"/>
        </w:trPr>
        <w:tc>
          <w:tcPr>
            <w:tcW w:w="4323" w:type="dxa"/>
            <w:vAlign w:val="center"/>
          </w:tcPr>
          <w:p w:rsidR="00157A02" w:rsidRPr="00856E0D" w:rsidRDefault="005B37A9" w:rsidP="005B37A9">
            <w:pPr>
              <w:autoSpaceDE w:val="0"/>
              <w:autoSpaceDN w:val="0"/>
              <w:adjustRightInd w:val="0"/>
            </w:pPr>
            <w:r>
              <w:t>Senador ROMERO JUCÁ</w:t>
            </w:r>
          </w:p>
        </w:tc>
        <w:tc>
          <w:tcPr>
            <w:tcW w:w="4323" w:type="dxa"/>
            <w:vAlign w:val="center"/>
          </w:tcPr>
          <w:p w:rsidR="00157A02" w:rsidRPr="00856E0D" w:rsidRDefault="005B37A9">
            <w:pPr>
              <w:autoSpaceDE w:val="0"/>
              <w:autoSpaceDN w:val="0"/>
              <w:adjustRightInd w:val="0"/>
            </w:pPr>
            <w:r>
              <w:t>003; 004; 005; 006; 007; 008; 009; 010; 011; 012; 013; 014; 015; 016; 025;</w:t>
            </w:r>
          </w:p>
        </w:tc>
      </w:tr>
      <w:tr w:rsidR="00157A02" w:rsidRPr="00856E0D">
        <w:tblPrEx>
          <w:tblCellMar>
            <w:top w:w="0" w:type="dxa"/>
            <w:bottom w:w="0" w:type="dxa"/>
          </w:tblCellMar>
        </w:tblPrEx>
        <w:trPr>
          <w:trHeight w:val="340"/>
        </w:trPr>
        <w:tc>
          <w:tcPr>
            <w:tcW w:w="4323" w:type="dxa"/>
            <w:vAlign w:val="center"/>
          </w:tcPr>
          <w:p w:rsidR="00157A02" w:rsidRPr="00856E0D" w:rsidRDefault="00157A02" w:rsidP="005B37A9">
            <w:pPr>
              <w:autoSpaceDE w:val="0"/>
              <w:autoSpaceDN w:val="0"/>
              <w:adjustRightInd w:val="0"/>
            </w:pPr>
            <w:r w:rsidRPr="00856E0D">
              <w:t xml:space="preserve">Deputado </w:t>
            </w:r>
            <w:r w:rsidR="005B37A9">
              <w:t>ANTONIO BRITO</w:t>
            </w:r>
            <w:r w:rsidRPr="00856E0D">
              <w:t xml:space="preserve"> </w:t>
            </w:r>
          </w:p>
        </w:tc>
        <w:tc>
          <w:tcPr>
            <w:tcW w:w="4323" w:type="dxa"/>
            <w:vAlign w:val="center"/>
          </w:tcPr>
          <w:p w:rsidR="00157A02" w:rsidRPr="00856E0D" w:rsidRDefault="005B37A9">
            <w:pPr>
              <w:autoSpaceDE w:val="0"/>
              <w:autoSpaceDN w:val="0"/>
              <w:adjustRightInd w:val="0"/>
            </w:pPr>
            <w:r>
              <w:t>017;</w:t>
            </w:r>
          </w:p>
        </w:tc>
      </w:tr>
      <w:tr w:rsidR="00157A02" w:rsidRPr="00856E0D">
        <w:tblPrEx>
          <w:tblCellMar>
            <w:top w:w="0" w:type="dxa"/>
            <w:bottom w:w="0" w:type="dxa"/>
          </w:tblCellMar>
        </w:tblPrEx>
        <w:trPr>
          <w:trHeight w:val="340"/>
        </w:trPr>
        <w:tc>
          <w:tcPr>
            <w:tcW w:w="4323" w:type="dxa"/>
            <w:vAlign w:val="center"/>
          </w:tcPr>
          <w:p w:rsidR="00157A02" w:rsidRPr="00856E0D" w:rsidRDefault="00157A02" w:rsidP="005B37A9">
            <w:pPr>
              <w:autoSpaceDE w:val="0"/>
              <w:autoSpaceDN w:val="0"/>
              <w:adjustRightInd w:val="0"/>
            </w:pPr>
            <w:r w:rsidRPr="00856E0D">
              <w:t xml:space="preserve">Deputado </w:t>
            </w:r>
            <w:r w:rsidR="005B37A9">
              <w:t>ANDRÉ FIGUEIREDO</w:t>
            </w:r>
          </w:p>
        </w:tc>
        <w:tc>
          <w:tcPr>
            <w:tcW w:w="4323" w:type="dxa"/>
            <w:vAlign w:val="center"/>
          </w:tcPr>
          <w:p w:rsidR="00157A02" w:rsidRPr="00856E0D" w:rsidRDefault="005B37A9">
            <w:pPr>
              <w:autoSpaceDE w:val="0"/>
              <w:autoSpaceDN w:val="0"/>
              <w:adjustRightInd w:val="0"/>
            </w:pPr>
            <w:r>
              <w:t>018;</w:t>
            </w:r>
          </w:p>
        </w:tc>
      </w:tr>
      <w:tr w:rsidR="00157A02" w:rsidRPr="00856E0D">
        <w:tblPrEx>
          <w:tblCellMar>
            <w:top w:w="0" w:type="dxa"/>
            <w:bottom w:w="0" w:type="dxa"/>
          </w:tblCellMar>
        </w:tblPrEx>
        <w:trPr>
          <w:trHeight w:val="340"/>
        </w:trPr>
        <w:tc>
          <w:tcPr>
            <w:tcW w:w="4323" w:type="dxa"/>
            <w:vAlign w:val="center"/>
          </w:tcPr>
          <w:p w:rsidR="00157A02" w:rsidRPr="00856E0D" w:rsidRDefault="00157A02" w:rsidP="005B37A9">
            <w:pPr>
              <w:autoSpaceDE w:val="0"/>
              <w:autoSpaceDN w:val="0"/>
              <w:adjustRightInd w:val="0"/>
            </w:pPr>
            <w:r w:rsidRPr="00856E0D">
              <w:t xml:space="preserve">Deputado </w:t>
            </w:r>
            <w:r w:rsidR="005B37A9">
              <w:t>ONYX LORENZONI</w:t>
            </w:r>
          </w:p>
        </w:tc>
        <w:tc>
          <w:tcPr>
            <w:tcW w:w="4323" w:type="dxa"/>
            <w:vAlign w:val="center"/>
          </w:tcPr>
          <w:p w:rsidR="00157A02" w:rsidRPr="00856E0D" w:rsidRDefault="005B37A9">
            <w:pPr>
              <w:autoSpaceDE w:val="0"/>
              <w:autoSpaceDN w:val="0"/>
              <w:adjustRightInd w:val="0"/>
            </w:pPr>
            <w:r>
              <w:t>019; 020;</w:t>
            </w:r>
          </w:p>
        </w:tc>
      </w:tr>
      <w:tr w:rsidR="00157A02" w:rsidRPr="00856E0D">
        <w:tblPrEx>
          <w:tblCellMar>
            <w:top w:w="0" w:type="dxa"/>
            <w:bottom w:w="0" w:type="dxa"/>
          </w:tblCellMar>
        </w:tblPrEx>
        <w:trPr>
          <w:trHeight w:val="340"/>
        </w:trPr>
        <w:tc>
          <w:tcPr>
            <w:tcW w:w="4323" w:type="dxa"/>
            <w:vAlign w:val="center"/>
          </w:tcPr>
          <w:p w:rsidR="00157A02" w:rsidRPr="00856E0D" w:rsidRDefault="00157A02" w:rsidP="005B37A9">
            <w:pPr>
              <w:autoSpaceDE w:val="0"/>
              <w:autoSpaceDN w:val="0"/>
              <w:adjustRightInd w:val="0"/>
            </w:pPr>
            <w:r w:rsidRPr="00856E0D">
              <w:lastRenderedPageBreak/>
              <w:t xml:space="preserve">Deputado </w:t>
            </w:r>
            <w:r w:rsidR="005B37A9">
              <w:t>MANOEL JUNIOR</w:t>
            </w:r>
          </w:p>
        </w:tc>
        <w:tc>
          <w:tcPr>
            <w:tcW w:w="4323" w:type="dxa"/>
            <w:vAlign w:val="center"/>
          </w:tcPr>
          <w:p w:rsidR="00157A02" w:rsidRPr="00856E0D" w:rsidRDefault="005B37A9">
            <w:pPr>
              <w:autoSpaceDE w:val="0"/>
              <w:autoSpaceDN w:val="0"/>
              <w:adjustRightInd w:val="0"/>
            </w:pPr>
            <w:r>
              <w:t>021; 022;</w:t>
            </w:r>
          </w:p>
        </w:tc>
      </w:tr>
      <w:tr w:rsidR="00157A02" w:rsidRPr="00856E0D">
        <w:tblPrEx>
          <w:tblCellMar>
            <w:top w:w="0" w:type="dxa"/>
            <w:bottom w:w="0" w:type="dxa"/>
          </w:tblCellMar>
        </w:tblPrEx>
        <w:trPr>
          <w:trHeight w:val="340"/>
        </w:trPr>
        <w:tc>
          <w:tcPr>
            <w:tcW w:w="4323" w:type="dxa"/>
            <w:vAlign w:val="center"/>
          </w:tcPr>
          <w:p w:rsidR="00157A02" w:rsidRPr="00856E0D" w:rsidRDefault="005B37A9">
            <w:pPr>
              <w:autoSpaceDE w:val="0"/>
              <w:autoSpaceDN w:val="0"/>
              <w:adjustRightInd w:val="0"/>
            </w:pPr>
            <w:r>
              <w:t>Senador WALDEMIR MOKA</w:t>
            </w:r>
          </w:p>
        </w:tc>
        <w:tc>
          <w:tcPr>
            <w:tcW w:w="4323" w:type="dxa"/>
            <w:vAlign w:val="center"/>
          </w:tcPr>
          <w:p w:rsidR="00157A02" w:rsidRPr="00856E0D" w:rsidRDefault="005B37A9">
            <w:pPr>
              <w:autoSpaceDE w:val="0"/>
              <w:autoSpaceDN w:val="0"/>
              <w:adjustRightInd w:val="0"/>
            </w:pPr>
            <w:r>
              <w:t>023; 024;</w:t>
            </w:r>
          </w:p>
        </w:tc>
      </w:tr>
      <w:tr w:rsidR="00157A02" w:rsidRPr="00856E0D">
        <w:tblPrEx>
          <w:tblCellMar>
            <w:top w:w="0" w:type="dxa"/>
            <w:bottom w:w="0" w:type="dxa"/>
          </w:tblCellMar>
        </w:tblPrEx>
        <w:trPr>
          <w:trHeight w:val="340"/>
        </w:trPr>
        <w:tc>
          <w:tcPr>
            <w:tcW w:w="4323" w:type="dxa"/>
            <w:vAlign w:val="center"/>
          </w:tcPr>
          <w:p w:rsidR="00157A02" w:rsidRPr="00856E0D" w:rsidRDefault="00157A02" w:rsidP="005B37A9">
            <w:pPr>
              <w:autoSpaceDE w:val="0"/>
              <w:autoSpaceDN w:val="0"/>
              <w:adjustRightInd w:val="0"/>
            </w:pPr>
            <w:r w:rsidRPr="00856E0D">
              <w:t xml:space="preserve">Deputado </w:t>
            </w:r>
            <w:r w:rsidR="005B37A9">
              <w:t>JOVAIR ARANTES</w:t>
            </w:r>
          </w:p>
        </w:tc>
        <w:tc>
          <w:tcPr>
            <w:tcW w:w="4323" w:type="dxa"/>
            <w:vAlign w:val="center"/>
          </w:tcPr>
          <w:p w:rsidR="00157A02" w:rsidRPr="00856E0D" w:rsidRDefault="005B37A9" w:rsidP="00772D6D">
            <w:pPr>
              <w:autoSpaceDE w:val="0"/>
              <w:autoSpaceDN w:val="0"/>
              <w:adjustRightInd w:val="0"/>
            </w:pPr>
            <w:r>
              <w:t>026; 02</w:t>
            </w:r>
            <w:r w:rsidR="00772D6D">
              <w:t>7</w:t>
            </w:r>
            <w:r>
              <w:t>.</w:t>
            </w:r>
          </w:p>
        </w:tc>
      </w:tr>
    </w:tbl>
    <w:p w:rsidR="00157A02" w:rsidRPr="00856E0D" w:rsidRDefault="00157A02">
      <w:pPr>
        <w:pStyle w:val="Recuodecorpodetexto2"/>
        <w:spacing w:after="160"/>
        <w:ind w:firstLine="1418"/>
        <w:rPr>
          <w:snapToGrid w:val="0"/>
        </w:rPr>
      </w:pPr>
      <w:r w:rsidRPr="00856E0D">
        <w:rPr>
          <w:snapToGrid w:val="0"/>
        </w:rPr>
        <w:tab/>
      </w:r>
    </w:p>
    <w:p w:rsidR="00157A02" w:rsidRPr="00856E0D" w:rsidRDefault="00157A02">
      <w:pPr>
        <w:pStyle w:val="titulo4"/>
      </w:pPr>
      <w:r w:rsidRPr="00856E0D">
        <w:t>II - VOTO DO RELATOR</w:t>
      </w:r>
    </w:p>
    <w:p w:rsidR="00157A02" w:rsidRPr="00856E0D" w:rsidRDefault="00157A02">
      <w:pPr>
        <w:pStyle w:val="CorpoPadro"/>
        <w:keepNext/>
        <w:spacing w:before="240"/>
        <w:ind w:firstLine="0"/>
        <w:jc w:val="center"/>
        <w:rPr>
          <w:b/>
        </w:rPr>
      </w:pPr>
      <w:r w:rsidRPr="00856E0D">
        <w:rPr>
          <w:b/>
        </w:rPr>
        <w:t>Da Constitucionalidade, Juridicidade e Técnica Legislativa</w:t>
      </w:r>
    </w:p>
    <w:p w:rsidR="00157A02" w:rsidRPr="00856E0D" w:rsidRDefault="00157A02">
      <w:pPr>
        <w:pStyle w:val="Recuodecorpodetexto2"/>
        <w:spacing w:after="160"/>
        <w:ind w:firstLine="1418"/>
      </w:pPr>
      <w:r w:rsidRPr="00856E0D">
        <w:t xml:space="preserve">O art. 62 da Constituição Federal estabelece que, em caso de relevância e urgência, é admissível a adoção de medida provisória pelo Presidente da República, que deverá submetê-la de imediato ao Congresso Nacional. </w:t>
      </w:r>
    </w:p>
    <w:p w:rsidR="00157A02" w:rsidRPr="00856E0D" w:rsidRDefault="00157A02">
      <w:pPr>
        <w:pStyle w:val="Recuodecorpodetexto2"/>
        <w:spacing w:after="160"/>
        <w:ind w:firstLine="1418"/>
        <w:rPr>
          <w:b/>
        </w:rPr>
      </w:pPr>
      <w:r w:rsidRPr="00856E0D">
        <w:t>A admissibilidade da medida provisória restringe-se, assim, aos pressupostos de relevância e urgência. Entendemos que es</w:t>
      </w:r>
      <w:r w:rsidR="00867AD8">
        <w:t>s</w:t>
      </w:r>
      <w:r w:rsidRPr="00856E0D">
        <w:t xml:space="preserve">es pressupostos </w:t>
      </w:r>
      <w:r w:rsidR="00867AD8">
        <w:t xml:space="preserve">se </w:t>
      </w:r>
      <w:r w:rsidRPr="00856E0D">
        <w:t xml:space="preserve">fazem presentes no caso sob exame, uma vez que, dada a importância e a necessidade de implementação tempestiva das providências referidas na Medida Provisória nº </w:t>
      </w:r>
      <w:r w:rsidR="008B4196">
        <w:t>682</w:t>
      </w:r>
      <w:r w:rsidRPr="00856E0D">
        <w:t>, de 201</w:t>
      </w:r>
      <w:r w:rsidR="008B4196">
        <w:t>5</w:t>
      </w:r>
      <w:r w:rsidRPr="00856E0D">
        <w:t xml:space="preserve">, </w:t>
      </w:r>
      <w:r w:rsidR="008B4196">
        <w:t xml:space="preserve">considerando a </w:t>
      </w:r>
      <w:r w:rsidR="007903D8">
        <w:t>recomendação exarada pelo</w:t>
      </w:r>
      <w:r w:rsidR="008B4196">
        <w:t xml:space="preserve"> Tribunal de Contas da União, </w:t>
      </w:r>
      <w:r w:rsidRPr="00856E0D">
        <w:t xml:space="preserve">tornar-se-iam exíguos os prazos para a tramitação de projeto de lei, ainda que em regime de urgência. Com base no exposto, </w:t>
      </w:r>
      <w:r w:rsidRPr="00856E0D">
        <w:rPr>
          <w:b/>
        </w:rPr>
        <w:t xml:space="preserve">manifesto-me pela admissibilidade da Medida Provisória nº </w:t>
      </w:r>
      <w:r w:rsidR="008B4196">
        <w:rPr>
          <w:b/>
        </w:rPr>
        <w:t>682</w:t>
      </w:r>
      <w:r w:rsidRPr="00856E0D">
        <w:rPr>
          <w:b/>
        </w:rPr>
        <w:t>, de 201</w:t>
      </w:r>
      <w:r w:rsidR="008B4196">
        <w:rPr>
          <w:b/>
        </w:rPr>
        <w:t>5</w:t>
      </w:r>
      <w:r w:rsidRPr="00856E0D">
        <w:rPr>
          <w:b/>
        </w:rPr>
        <w:t xml:space="preserve">. </w:t>
      </w:r>
    </w:p>
    <w:p w:rsidR="00157A02" w:rsidRPr="00856E0D" w:rsidRDefault="00157A02">
      <w:pPr>
        <w:pStyle w:val="Recuodecorpodetexto2"/>
        <w:spacing w:after="160"/>
        <w:ind w:firstLine="1418"/>
      </w:pPr>
      <w:r w:rsidRPr="00856E0D">
        <w:t xml:space="preserve">Atendidos os pressupostos de urgência e relevância e constatando que as matérias tratadas no diploma legal sob análise não se enquadram no rol das vedações impeditivas à edição de medidas provisórias, listadas nos incisos I a IV do art. 62 e no art. 246 da Constituição Federal, nem se inserem entre aquelas cuja competência é exclusiva do Congresso Nacional ou de qualquer uma de suas Casas, tampouco ferem qualquer </w:t>
      </w:r>
      <w:r w:rsidRPr="00856E0D">
        <w:lastRenderedPageBreak/>
        <w:t xml:space="preserve">princípio ou preceito da Lei Maior, </w:t>
      </w:r>
      <w:r w:rsidRPr="00856E0D">
        <w:rPr>
          <w:b/>
        </w:rPr>
        <w:t xml:space="preserve">voto pela constitucionalidade e pela juridicidade da Medida Provisória nº </w:t>
      </w:r>
      <w:r w:rsidR="008B4196">
        <w:rPr>
          <w:b/>
        </w:rPr>
        <w:t>682</w:t>
      </w:r>
      <w:r w:rsidRPr="00856E0D">
        <w:rPr>
          <w:b/>
        </w:rPr>
        <w:t>, de 201</w:t>
      </w:r>
      <w:r w:rsidR="008B4196">
        <w:rPr>
          <w:b/>
        </w:rPr>
        <w:t>5</w:t>
      </w:r>
      <w:r w:rsidRPr="00856E0D">
        <w:rPr>
          <w:b/>
        </w:rPr>
        <w:t>. Quanto à técnica legislativa, entendo atendidos os requisitos da Lei Complementar nº 95, de 6 de fevereiro de 1998.</w:t>
      </w:r>
      <w:r w:rsidRPr="00856E0D">
        <w:t xml:space="preserve"> </w:t>
      </w:r>
    </w:p>
    <w:p w:rsidR="00157A02" w:rsidRPr="00856E0D" w:rsidRDefault="00157A02"/>
    <w:p w:rsidR="00157A02" w:rsidRPr="00856E0D" w:rsidRDefault="00157A02">
      <w:pPr>
        <w:pStyle w:val="CorpoPadro"/>
        <w:keepNext/>
        <w:spacing w:before="240"/>
      </w:pPr>
      <w:r w:rsidRPr="00856E0D">
        <w:rPr>
          <w:b/>
        </w:rPr>
        <w:t>Da Adequação Financeira e Orçamentária</w:t>
      </w:r>
      <w:r w:rsidRPr="00856E0D">
        <w:t xml:space="preserve"> </w:t>
      </w:r>
    </w:p>
    <w:p w:rsidR="00157A02" w:rsidRPr="00856E0D" w:rsidRDefault="00157A02" w:rsidP="00585DFF">
      <w:pPr>
        <w:pStyle w:val="Recuodecorpodetexto2"/>
        <w:spacing w:after="160"/>
        <w:ind w:firstLine="1418"/>
      </w:pPr>
      <w:r w:rsidRPr="00856E0D">
        <w:t xml:space="preserve">O exame da compatibilidade e adequação orçamentária e financeira da Medida Provisória nº </w:t>
      </w:r>
      <w:r w:rsidR="007903D8">
        <w:t>682</w:t>
      </w:r>
      <w:r w:rsidRPr="00856E0D">
        <w:t>, de 201</w:t>
      </w:r>
      <w:r w:rsidR="007903D8">
        <w:t>5</w:t>
      </w:r>
      <w:r w:rsidRPr="00856E0D">
        <w:t xml:space="preserve">, deve ser realizado consoante o disposto no art. 5º, § 1º, da Resolução nº 1, de 2002 – CN, </w:t>
      </w:r>
      <w:r w:rsidRPr="009255BA">
        <w:rPr>
          <w:i/>
        </w:rPr>
        <w:t>in litteris</w:t>
      </w:r>
      <w:r w:rsidRPr="00856E0D">
        <w:t>:</w:t>
      </w:r>
    </w:p>
    <w:p w:rsidR="00157A02" w:rsidRPr="00856E0D" w:rsidRDefault="00157A02">
      <w:pPr>
        <w:ind w:left="708" w:firstLine="708"/>
        <w:jc w:val="both"/>
        <w:rPr>
          <w:i/>
        </w:rPr>
      </w:pPr>
    </w:p>
    <w:p w:rsidR="00157A02" w:rsidRPr="00856E0D" w:rsidRDefault="00157A02">
      <w:pPr>
        <w:ind w:left="1416"/>
        <w:jc w:val="both"/>
        <w:rPr>
          <w:color w:val="000000"/>
        </w:rPr>
      </w:pPr>
      <w:r w:rsidRPr="00856E0D">
        <w:rPr>
          <w:i/>
          <w:color w:val="000000"/>
        </w:rPr>
        <w:t>O exame de compatibilidade e adequação orçamentária e financeira das Medidas Provisórias abrange a análise da repercussão sobre a receita ou a despesa pública da União e da implicação quanto ao atendimento das normas orçamentárias e financeiras vigentes, em especial a conformidade com a Lei Complementar nº 101, de 4 de maio de 2000 (Lei De Responsabilidade Fiscal – LRF), a lei do plano plurianual (PPA), a lei de diretrizes orçamentárias (LDO) e a lei orçamentária da União (LOA)</w:t>
      </w:r>
      <w:r w:rsidRPr="00856E0D">
        <w:rPr>
          <w:color w:val="000000"/>
        </w:rPr>
        <w:t>.</w:t>
      </w:r>
    </w:p>
    <w:p w:rsidR="00157A02" w:rsidRPr="00856E0D" w:rsidRDefault="00157A02">
      <w:pPr>
        <w:ind w:firstLine="708"/>
        <w:jc w:val="both"/>
      </w:pPr>
    </w:p>
    <w:p w:rsidR="00E95F0E" w:rsidRDefault="00E95F0E" w:rsidP="00585DFF">
      <w:pPr>
        <w:pStyle w:val="Recuodecorpodetexto2"/>
        <w:spacing w:after="160"/>
        <w:ind w:firstLine="1418"/>
      </w:pPr>
      <w:r>
        <w:t>Observamos que</w:t>
      </w:r>
      <w:r w:rsidR="00054979">
        <w:t>,</w:t>
      </w:r>
      <w:r>
        <w:t xml:space="preserve"> </w:t>
      </w:r>
      <w:r w:rsidR="00054979">
        <w:t xml:space="preserve">conforme mencionado na Exposição de Motivos nº 00081/2015 MF, de 10 de julho de 2015, e reiterado pela Nota Técnica nº 20/2015 </w:t>
      </w:r>
      <w:r w:rsidR="00BD63FB">
        <w:t xml:space="preserve">da Consultoria de Orçamento e Fiscalização Financeira da Câmara dos Deputados, </w:t>
      </w:r>
      <w:r>
        <w:t xml:space="preserve">a medida proposta não </w:t>
      </w:r>
      <w:r w:rsidR="00244A82">
        <w:t>gerará</w:t>
      </w:r>
      <w:r>
        <w:t xml:space="preserve"> despesas adicionais, tratando-se simplesmente d</w:t>
      </w:r>
      <w:r w:rsidR="005E0E43">
        <w:t>e</w:t>
      </w:r>
      <w:r>
        <w:t xml:space="preserve"> alteração da competência da gestão do FESR</w:t>
      </w:r>
      <w:r w:rsidR="00244A82">
        <w:t>.</w:t>
      </w:r>
    </w:p>
    <w:p w:rsidR="00157A02" w:rsidRPr="00856E0D" w:rsidRDefault="00157A02">
      <w:pPr>
        <w:pStyle w:val="Recuodecorpodetexto2"/>
        <w:spacing w:after="160"/>
        <w:ind w:firstLine="1418"/>
        <w:rPr>
          <w:b/>
        </w:rPr>
      </w:pPr>
      <w:r w:rsidRPr="00856E0D">
        <w:t xml:space="preserve">Em vista desses elementos, </w:t>
      </w:r>
      <w:r w:rsidRPr="00856E0D">
        <w:rPr>
          <w:b/>
        </w:rPr>
        <w:t xml:space="preserve">voto pela adequação e compatibilidade orçamentária e financeira da MPV nº </w:t>
      </w:r>
      <w:r w:rsidR="00E95F0E">
        <w:rPr>
          <w:b/>
        </w:rPr>
        <w:t>682</w:t>
      </w:r>
      <w:r w:rsidRPr="00856E0D">
        <w:rPr>
          <w:b/>
        </w:rPr>
        <w:t>, de 201</w:t>
      </w:r>
      <w:r w:rsidR="00E95F0E">
        <w:rPr>
          <w:b/>
        </w:rPr>
        <w:t>5</w:t>
      </w:r>
      <w:r w:rsidRPr="00856E0D">
        <w:rPr>
          <w:b/>
        </w:rPr>
        <w:t>.</w:t>
      </w:r>
    </w:p>
    <w:p w:rsidR="00157A02" w:rsidRPr="00856E0D" w:rsidRDefault="00157A02"/>
    <w:p w:rsidR="00157A02" w:rsidRPr="00856E0D" w:rsidRDefault="00157A02"/>
    <w:p w:rsidR="00157A02" w:rsidRPr="00856E0D" w:rsidRDefault="00157A02">
      <w:pPr>
        <w:pStyle w:val="CorpoPadro"/>
        <w:keepNext/>
        <w:spacing w:before="240"/>
        <w:ind w:firstLine="0"/>
        <w:jc w:val="center"/>
        <w:rPr>
          <w:b/>
        </w:rPr>
      </w:pPr>
      <w:r w:rsidRPr="00856E0D">
        <w:rPr>
          <w:b/>
        </w:rPr>
        <w:t xml:space="preserve">Do </w:t>
      </w:r>
      <w:r w:rsidR="00B83BCB">
        <w:rPr>
          <w:b/>
        </w:rPr>
        <w:t>m</w:t>
      </w:r>
      <w:r w:rsidRPr="00856E0D">
        <w:rPr>
          <w:b/>
        </w:rPr>
        <w:t>érito</w:t>
      </w:r>
      <w:r w:rsidR="00B83BCB">
        <w:rPr>
          <w:b/>
        </w:rPr>
        <w:t xml:space="preserve"> e das emendas apresentadas à Medida Provisória</w:t>
      </w:r>
    </w:p>
    <w:p w:rsidR="00514EAA" w:rsidRDefault="00514EAA">
      <w:pPr>
        <w:pStyle w:val="Recuodecorpodetexto2"/>
      </w:pPr>
    </w:p>
    <w:p w:rsidR="0001410E" w:rsidRPr="0001410E" w:rsidRDefault="0001410E" w:rsidP="0001410E">
      <w:pPr>
        <w:pStyle w:val="Recuodecorpodetexto2"/>
        <w:spacing w:after="160"/>
        <w:ind w:firstLine="1418"/>
      </w:pPr>
      <w:r w:rsidRPr="0001410E">
        <w:lastRenderedPageBreak/>
        <w:t>O Tribunal de Contas da União – TCU (1ª Câmara), em decisão proferida em 02/12/2014, por meio do Acórdão nº 7.656/2014, recomendou ao Ministério da Fazenda que adotasse medidas visando à regularização do Fundo de Estabilidade do Seguro Rural (FESR) uma vez que “com a conclusão do processo de desestatização do IRB, a gestão do referido Fundo, que integra o Orçamento Geral da União, ainda continua sob a responsabilidade do agora instituto privado”.</w:t>
      </w:r>
    </w:p>
    <w:p w:rsidR="0001410E" w:rsidRPr="0001410E" w:rsidRDefault="0001410E" w:rsidP="0001410E">
      <w:pPr>
        <w:pStyle w:val="Recuodecorpodetexto2"/>
        <w:spacing w:after="160"/>
        <w:ind w:firstLine="1418"/>
      </w:pPr>
      <w:r w:rsidRPr="0001410E">
        <w:t>O FESR, criado pelo art. 16 do Decreto-Lei nº 73, de 21 de novembro de 1966, tem por finalidade manter e garantir o equilíbrio das operações do seguro rural no país, bem como atender à cobertura suplementar dos riscos de catástrofe, inerentes à atividade rural. O referido Decreto-Lei determinou, em seu art. 16, parágrafo único, que o FESR seria administrado pelo IRB.</w:t>
      </w:r>
    </w:p>
    <w:p w:rsidR="0001410E" w:rsidRPr="0001410E" w:rsidRDefault="0001410E" w:rsidP="0001410E">
      <w:pPr>
        <w:pStyle w:val="Recuodecorpodetexto2"/>
        <w:spacing w:after="160"/>
        <w:ind w:firstLine="1418"/>
      </w:pPr>
      <w:r w:rsidRPr="0001410E">
        <w:t>Por sua vez, a Lei Complementar nº 137, de 26 de agosto de 2010, previu a criação de um fundo para a cobertura suplementar dos riscos do seguro rural, ainda não implantado, que substituirá o FESR. A mesma Lei, em seu art. 18, § 1º, prescreve que “o IRB-Brasil RE ficará encarregado da gestão do FESR até a completa liquidação de suas obrigações, observadas as regras estabelecidas pelo Conselho Nacional de Seguros Privados (CNSP)”. Contudo, com o processo de desestatização do IRB-Brasil RE, o FESR passou a ser administrado por um ente privado, o que ensejou a recomendação do TCU.</w:t>
      </w:r>
    </w:p>
    <w:p w:rsidR="0001410E" w:rsidRPr="009C636E" w:rsidRDefault="00772D6D" w:rsidP="0001410E">
      <w:pPr>
        <w:pStyle w:val="Recuodecorpodetexto2"/>
        <w:spacing w:after="160"/>
        <w:ind w:firstLine="1418"/>
        <w:rPr>
          <w:u w:val="single"/>
        </w:rPr>
      </w:pPr>
      <w:r>
        <w:t>É</w:t>
      </w:r>
      <w:r w:rsidR="0001410E" w:rsidRPr="0001410E">
        <w:t xml:space="preserve"> importante salientar que a possibilidade de a ABGF exercer o papel de gestora do FESR é admitida em sua lei de criação, Lei nº 12.712, de 2012, que estabelece, em seu art. 38, inciso III, que a Agência terá por objeto, dentre outros, “a constituição, administração, gestão e representação de fundos que tenham por único objetivo a cobertura suplementar dos riscos de seguro rural nas modalidades agrícola, pecuária, aquícola e florestal, desde que autorizada pela legislação aplicável aos seguros privados, observadas as disposições estabelecidas pelo órgão regulador de seguros”, bem como, em seu art. 54, inciso VIII, que compete à ABGF administrar e gerir fundos garantidores. </w:t>
      </w:r>
      <w:r w:rsidR="0001410E" w:rsidRPr="009C636E">
        <w:rPr>
          <w:u w:val="single"/>
        </w:rPr>
        <w:lastRenderedPageBreak/>
        <w:t>Desse modo, considero meritória a MPV nº 682, de 2015, que vem atender à recomendação exarada pela corte de contas.</w:t>
      </w:r>
    </w:p>
    <w:p w:rsidR="00514EAA" w:rsidRDefault="00B83BCB" w:rsidP="002A6CBE">
      <w:pPr>
        <w:pStyle w:val="Recuodecorpodetexto2"/>
        <w:spacing w:after="160"/>
        <w:ind w:firstLine="1418"/>
      </w:pPr>
      <w:r w:rsidRPr="002A6CBE">
        <w:t>Das 27 emendas apresentadas, apenas quatro tratam de temas diretamente relacionados à MPV nº 682, de 2015, ou</w:t>
      </w:r>
      <w:r w:rsidR="00D731B3">
        <w:t>, de forma conexa,</w:t>
      </w:r>
      <w:r w:rsidRPr="002A6CBE">
        <w:t xml:space="preserve"> ao seguro rural, quais sejam: 18, 19, 23 e 24. A princípio, as demais, por não preencherem os requisitos de admissibilidade, devem ser rejeitadas.</w:t>
      </w:r>
    </w:p>
    <w:p w:rsidR="002A6CBE" w:rsidRPr="002A6CBE" w:rsidRDefault="002A6CBE" w:rsidP="002A6CBE">
      <w:pPr>
        <w:pStyle w:val="Recuodecorpodetexto2"/>
        <w:spacing w:after="160"/>
        <w:ind w:firstLine="1418"/>
      </w:pPr>
      <w:r w:rsidRPr="002A6CBE">
        <w:t xml:space="preserve">A Emenda nº 18, do Deputado André Figueiredo, propõe ampliar o percentual mínimo de funções gerenciais e cargos da Diretoria-Executiva da ABGF a serem preenchidos por pessoal permanente daquela </w:t>
      </w:r>
      <w:r w:rsidR="009C636E">
        <w:t>empresa</w:t>
      </w:r>
      <w:r>
        <w:t>, bem como antecipar o prazo para o cumprimento de tais exigências</w:t>
      </w:r>
      <w:r w:rsidRPr="002A6CBE">
        <w:t xml:space="preserve">. </w:t>
      </w:r>
      <w:r w:rsidRPr="00CA56CB">
        <w:rPr>
          <w:u w:val="single"/>
        </w:rPr>
        <w:t>A ABGF foi criada em 2012, tendo iniciado suas operações efetivamente em 2014. O primeiro concurso está previsto para ocorrer em 2016 com a nomeação dos aprovados apenas em 2017, inviabilizando, assim, a adoção da medida proposta. Entendo, portanto</w:t>
      </w:r>
      <w:r w:rsidR="00467112">
        <w:rPr>
          <w:u w:val="single"/>
        </w:rPr>
        <w:t>,</w:t>
      </w:r>
      <w:r w:rsidRPr="00CA56CB">
        <w:rPr>
          <w:u w:val="single"/>
        </w:rPr>
        <w:t xml:space="preserve"> que tal medida </w:t>
      </w:r>
      <w:r w:rsidR="005E0E43">
        <w:rPr>
          <w:u w:val="single"/>
        </w:rPr>
        <w:t>não seria adequad</w:t>
      </w:r>
      <w:r w:rsidR="00D731B3">
        <w:rPr>
          <w:u w:val="single"/>
        </w:rPr>
        <w:t>a</w:t>
      </w:r>
      <w:r w:rsidR="005E0E43">
        <w:rPr>
          <w:u w:val="single"/>
        </w:rPr>
        <w:t xml:space="preserve"> </w:t>
      </w:r>
      <w:r w:rsidR="00D731B3">
        <w:rPr>
          <w:u w:val="single"/>
        </w:rPr>
        <w:t>levando-se em conta</w:t>
      </w:r>
      <w:r w:rsidR="005E0E43">
        <w:rPr>
          <w:u w:val="single"/>
        </w:rPr>
        <w:t xml:space="preserve"> o exíguo prazo para </w:t>
      </w:r>
      <w:r w:rsidR="00D731B3">
        <w:rPr>
          <w:u w:val="single"/>
        </w:rPr>
        <w:t>integrar e adaptar os profissionais concursados de forma a assegurar a eficiência dos negócios da ABGF</w:t>
      </w:r>
      <w:r w:rsidRPr="00CA56CB">
        <w:rPr>
          <w:u w:val="single"/>
        </w:rPr>
        <w:t>.</w:t>
      </w:r>
    </w:p>
    <w:p w:rsidR="002A6CBE" w:rsidRPr="002A6CBE" w:rsidRDefault="002A6CBE" w:rsidP="002A6CBE">
      <w:pPr>
        <w:pStyle w:val="Recuodecorpodetexto2"/>
        <w:spacing w:after="160"/>
        <w:ind w:firstLine="1418"/>
      </w:pPr>
      <w:r w:rsidRPr="002A6CBE">
        <w:t>A Emenda nº 19, do Deputado Onyx Lorenzoni, propõe  alteração da Lei nº 8.171, de</w:t>
      </w:r>
      <w:r w:rsidR="00CA56CB">
        <w:t xml:space="preserve"> </w:t>
      </w:r>
      <w:r w:rsidRPr="002A6CBE">
        <w:t>1991, com a finalidade de agilizar a liberação de recursos do Proagro, nos casos comprovados de catástrofes naturais, para um prazo máximo de até 30 dias, a partir da declaração da situação de emergência ou estado de calamidade pública pelo governo municipal, estadual ou do Distrito Federal, observados os critérios estabelecidos pelo Conselho Nacional de Defesa Civil (Condec).</w:t>
      </w:r>
      <w:r w:rsidR="005E0E43">
        <w:t xml:space="preserve"> </w:t>
      </w:r>
      <w:r w:rsidR="007B7085" w:rsidRPr="005E0E43">
        <w:rPr>
          <w:u w:val="single"/>
        </w:rPr>
        <w:t>É</w:t>
      </w:r>
      <w:r w:rsidR="00633016" w:rsidRPr="005E0E43">
        <w:rPr>
          <w:u w:val="single"/>
        </w:rPr>
        <w:t xml:space="preserve"> importante notar que</w:t>
      </w:r>
      <w:r w:rsidR="00047CB8">
        <w:rPr>
          <w:u w:val="single"/>
        </w:rPr>
        <w:t xml:space="preserve"> </w:t>
      </w:r>
      <w:r w:rsidR="00EF07F3">
        <w:rPr>
          <w:u w:val="single"/>
        </w:rPr>
        <w:t xml:space="preserve">o repasse de recursos pelo Banco Central, encarregado do gerenciamento dos recursos do </w:t>
      </w:r>
      <w:r w:rsidR="003D7BDA">
        <w:rPr>
          <w:u w:val="single"/>
        </w:rPr>
        <w:t>Programa</w:t>
      </w:r>
      <w:r w:rsidR="00EF07F3">
        <w:rPr>
          <w:u w:val="single"/>
        </w:rPr>
        <w:t xml:space="preserve">, para fins de </w:t>
      </w:r>
      <w:r w:rsidR="00047CB8">
        <w:rPr>
          <w:u w:val="single"/>
        </w:rPr>
        <w:t xml:space="preserve">indenização em razão de prejuízos </w:t>
      </w:r>
      <w:r w:rsidR="00047CB8" w:rsidRPr="005E0E43">
        <w:rPr>
          <w:u w:val="single"/>
        </w:rPr>
        <w:t>decorrente</w:t>
      </w:r>
      <w:r w:rsidR="00047CB8">
        <w:rPr>
          <w:u w:val="single"/>
        </w:rPr>
        <w:t>s</w:t>
      </w:r>
      <w:r w:rsidR="00047CB8" w:rsidRPr="005E0E43">
        <w:rPr>
          <w:u w:val="single"/>
        </w:rPr>
        <w:t xml:space="preserve"> de fenômenos naturais, pragas e doenças </w:t>
      </w:r>
      <w:r w:rsidR="00047CB8">
        <w:rPr>
          <w:u w:val="single"/>
        </w:rPr>
        <w:t xml:space="preserve">que </w:t>
      </w:r>
      <w:r w:rsidR="00047CB8" w:rsidRPr="005E0E43">
        <w:rPr>
          <w:u w:val="single"/>
        </w:rPr>
        <w:t>atinjam rebanhos e plantações</w:t>
      </w:r>
      <w:r w:rsidR="00D860D1">
        <w:rPr>
          <w:u w:val="single"/>
        </w:rPr>
        <w:t>,</w:t>
      </w:r>
      <w:r w:rsidR="00047CB8" w:rsidRPr="005E0E43">
        <w:rPr>
          <w:u w:val="single"/>
        </w:rPr>
        <w:t xml:space="preserve"> </w:t>
      </w:r>
      <w:r w:rsidR="00633016" w:rsidRPr="005E0E43">
        <w:rPr>
          <w:u w:val="single"/>
        </w:rPr>
        <w:t xml:space="preserve">ocorre mediante a </w:t>
      </w:r>
      <w:r w:rsidR="00EF07F3">
        <w:rPr>
          <w:u w:val="single"/>
        </w:rPr>
        <w:t xml:space="preserve">prévia </w:t>
      </w:r>
      <w:r w:rsidR="00047CB8">
        <w:rPr>
          <w:u w:val="single"/>
        </w:rPr>
        <w:t xml:space="preserve">análise </w:t>
      </w:r>
      <w:r w:rsidR="009D142F">
        <w:rPr>
          <w:u w:val="single"/>
        </w:rPr>
        <w:t>do pedido de cobertura</w:t>
      </w:r>
      <w:r w:rsidR="00423CCC">
        <w:rPr>
          <w:u w:val="single"/>
        </w:rPr>
        <w:t>. E</w:t>
      </w:r>
      <w:r w:rsidR="00BD5AE1">
        <w:rPr>
          <w:u w:val="single"/>
        </w:rPr>
        <w:t>ntre outros aspectos,</w:t>
      </w:r>
      <w:r w:rsidR="00B25EB1">
        <w:rPr>
          <w:u w:val="single"/>
        </w:rPr>
        <w:t xml:space="preserve"> </w:t>
      </w:r>
      <w:r w:rsidR="00423CCC">
        <w:rPr>
          <w:u w:val="single"/>
        </w:rPr>
        <w:t xml:space="preserve">essa análise inclui </w:t>
      </w:r>
      <w:r w:rsidR="009D142F">
        <w:rPr>
          <w:u w:val="single"/>
        </w:rPr>
        <w:t xml:space="preserve">a </w:t>
      </w:r>
      <w:r w:rsidR="00B25EB1">
        <w:rPr>
          <w:u w:val="single"/>
        </w:rPr>
        <w:t xml:space="preserve">verificação da adoção da tecnologia preconizada para a região e a </w:t>
      </w:r>
      <w:r w:rsidR="009D142F">
        <w:rPr>
          <w:u w:val="single"/>
        </w:rPr>
        <w:t xml:space="preserve">comprovação </w:t>
      </w:r>
      <w:r w:rsidR="00047CB8">
        <w:rPr>
          <w:u w:val="single"/>
        </w:rPr>
        <w:t>das perdas efetivas</w:t>
      </w:r>
      <w:r w:rsidR="009D142F">
        <w:rPr>
          <w:u w:val="single"/>
        </w:rPr>
        <w:t>, etapas que contam com a interveniência</w:t>
      </w:r>
      <w:r w:rsidR="00B25EB1">
        <w:rPr>
          <w:u w:val="single"/>
        </w:rPr>
        <w:t>, em especial,</w:t>
      </w:r>
      <w:r w:rsidR="009D142F">
        <w:rPr>
          <w:u w:val="single"/>
        </w:rPr>
        <w:t xml:space="preserve"> do agente do Proagro, a instituição financeira</w:t>
      </w:r>
      <w:r w:rsidR="006E4B0F">
        <w:rPr>
          <w:u w:val="single"/>
        </w:rPr>
        <w:t>,</w:t>
      </w:r>
      <w:r w:rsidR="00EF07F3">
        <w:rPr>
          <w:u w:val="single"/>
        </w:rPr>
        <w:t xml:space="preserve"> </w:t>
      </w:r>
      <w:r w:rsidR="00EF07F3">
        <w:rPr>
          <w:u w:val="single"/>
        </w:rPr>
        <w:lastRenderedPageBreak/>
        <w:t>e</w:t>
      </w:r>
      <w:r w:rsidR="009D142F">
        <w:rPr>
          <w:u w:val="single"/>
        </w:rPr>
        <w:t xml:space="preserve"> de empresas de assistência t</w:t>
      </w:r>
      <w:r w:rsidR="00B25EB1">
        <w:rPr>
          <w:u w:val="single"/>
        </w:rPr>
        <w:t>écnica ou profissionais habilitados</w:t>
      </w:r>
      <w:r w:rsidR="007B7085" w:rsidRPr="005E0E43">
        <w:rPr>
          <w:u w:val="single"/>
        </w:rPr>
        <w:t xml:space="preserve">. </w:t>
      </w:r>
      <w:r w:rsidR="001C5066">
        <w:rPr>
          <w:u w:val="single"/>
        </w:rPr>
        <w:t>Considero que o</w:t>
      </w:r>
      <w:r w:rsidR="007B7085" w:rsidRPr="00CA56CB">
        <w:rPr>
          <w:u w:val="single"/>
        </w:rPr>
        <w:t xml:space="preserve"> estabelecimento de prazo reduzido </w:t>
      </w:r>
      <w:r w:rsidR="001C5066">
        <w:rPr>
          <w:u w:val="single"/>
        </w:rPr>
        <w:t xml:space="preserve">poderá tornar precária </w:t>
      </w:r>
      <w:r w:rsidR="003D7BDA">
        <w:rPr>
          <w:u w:val="single"/>
        </w:rPr>
        <w:t>a</w:t>
      </w:r>
      <w:r w:rsidR="001C5066">
        <w:rPr>
          <w:u w:val="single"/>
        </w:rPr>
        <w:t xml:space="preserve"> execução dessas tarefas, </w:t>
      </w:r>
      <w:r w:rsidR="00AC1F94">
        <w:rPr>
          <w:u w:val="single"/>
        </w:rPr>
        <w:t xml:space="preserve">fragilizando o Programa e </w:t>
      </w:r>
      <w:r w:rsidR="007B7085" w:rsidRPr="00CA56CB">
        <w:rPr>
          <w:u w:val="single"/>
        </w:rPr>
        <w:t>reduzi</w:t>
      </w:r>
      <w:r w:rsidR="0033588D">
        <w:rPr>
          <w:u w:val="single"/>
        </w:rPr>
        <w:t xml:space="preserve">ndo </w:t>
      </w:r>
      <w:r w:rsidR="00AC1F94">
        <w:rPr>
          <w:u w:val="single"/>
        </w:rPr>
        <w:t>su</w:t>
      </w:r>
      <w:r w:rsidR="007B7085" w:rsidRPr="00CA56CB">
        <w:rPr>
          <w:u w:val="single"/>
        </w:rPr>
        <w:t xml:space="preserve">a eficácia. </w:t>
      </w:r>
      <w:r w:rsidR="00426FF1">
        <w:rPr>
          <w:u w:val="single"/>
        </w:rPr>
        <w:t>Em ra</w:t>
      </w:r>
      <w:r w:rsidR="00A5363C">
        <w:rPr>
          <w:u w:val="single"/>
        </w:rPr>
        <w:t>zão</w:t>
      </w:r>
      <w:r w:rsidR="00426FF1">
        <w:rPr>
          <w:u w:val="single"/>
        </w:rPr>
        <w:t xml:space="preserve"> disso, o</w:t>
      </w:r>
      <w:r w:rsidR="00CA56CB" w:rsidRPr="00CA56CB">
        <w:rPr>
          <w:u w:val="single"/>
        </w:rPr>
        <w:t>pt</w:t>
      </w:r>
      <w:r w:rsidR="009C636E">
        <w:rPr>
          <w:u w:val="single"/>
        </w:rPr>
        <w:t>o</w:t>
      </w:r>
      <w:r w:rsidR="00CA56CB" w:rsidRPr="00CA56CB">
        <w:rPr>
          <w:u w:val="single"/>
        </w:rPr>
        <w:t xml:space="preserve"> </w:t>
      </w:r>
      <w:r w:rsidR="00467112">
        <w:rPr>
          <w:u w:val="single"/>
        </w:rPr>
        <w:t xml:space="preserve"> </w:t>
      </w:r>
      <w:r w:rsidR="00CA56CB" w:rsidRPr="00CA56CB">
        <w:rPr>
          <w:u w:val="single"/>
        </w:rPr>
        <w:t>por não incorpor</w:t>
      </w:r>
      <w:r w:rsidR="003D7BDA">
        <w:rPr>
          <w:u w:val="single"/>
        </w:rPr>
        <w:t xml:space="preserve">ar </w:t>
      </w:r>
      <w:r w:rsidR="00294B9D">
        <w:rPr>
          <w:u w:val="single"/>
        </w:rPr>
        <w:t xml:space="preserve">a medida </w:t>
      </w:r>
      <w:r w:rsidR="005E0E43">
        <w:rPr>
          <w:u w:val="single"/>
        </w:rPr>
        <w:t>ao Projeto de Lei de Conversão</w:t>
      </w:r>
      <w:r w:rsidR="00CA56CB" w:rsidRPr="00CA56CB">
        <w:rPr>
          <w:u w:val="single"/>
        </w:rPr>
        <w:t>.</w:t>
      </w:r>
    </w:p>
    <w:p w:rsidR="002A6CBE" w:rsidRPr="002765DE" w:rsidRDefault="002A6CBE" w:rsidP="002A6CBE">
      <w:pPr>
        <w:pStyle w:val="Recuodecorpodetexto2"/>
        <w:spacing w:after="160"/>
        <w:ind w:firstLine="1418"/>
        <w:rPr>
          <w:u w:val="single"/>
        </w:rPr>
      </w:pPr>
      <w:r w:rsidRPr="002A6CBE">
        <w:t>A Emenda nº 23, do Senador Waldemir Moka, propõe a alteração da Lei nº 10.823, de 2003, com a finalidade, dentre outras, de proibir o Poder Público de exigir a contratação de seguro rural como condição para acesso ao crédito de custeio agropecuário, preservar a liberdade de escolha de apólices, natureza dos riscos cobertos e seguradoras de seu interesse</w:t>
      </w:r>
      <w:r w:rsidR="00D731B3">
        <w:t>, bem como condiciona o acesso do produtor à subvenção econômica ao fornecimento de dados históricos dos ciclos produtivos</w:t>
      </w:r>
      <w:r w:rsidRPr="002A6CBE">
        <w:t>.</w:t>
      </w:r>
      <w:r w:rsidR="00EB4A3C">
        <w:t xml:space="preserve"> </w:t>
      </w:r>
      <w:r w:rsidR="009C636E" w:rsidRPr="009C636E">
        <w:rPr>
          <w:u w:val="single"/>
        </w:rPr>
        <w:t>Entendo que a</w:t>
      </w:r>
      <w:r w:rsidR="00D731B3" w:rsidRPr="002765DE">
        <w:rPr>
          <w:u w:val="single"/>
        </w:rPr>
        <w:t xml:space="preserve"> não contratação de seguro rural põe em risco a atividade agropecuária, uma vez que perdas decorrentes de eventos fortuitos afetam negativamente a renda dos produtores rurais e </w:t>
      </w:r>
      <w:r w:rsidR="009C636E">
        <w:rPr>
          <w:u w:val="single"/>
        </w:rPr>
        <w:t xml:space="preserve">geram pressões para </w:t>
      </w:r>
      <w:r w:rsidR="00D731B3" w:rsidRPr="002765DE">
        <w:rPr>
          <w:u w:val="single"/>
        </w:rPr>
        <w:t>a renegociação de dívidas, com elevados custos para o Erário.</w:t>
      </w:r>
    </w:p>
    <w:p w:rsidR="00B411B5" w:rsidRDefault="00B411B5" w:rsidP="00B411B5">
      <w:pPr>
        <w:pStyle w:val="Recuodecorpodetexto2"/>
        <w:spacing w:after="160"/>
        <w:ind w:firstLine="1418"/>
      </w:pPr>
      <w:r w:rsidRPr="00B411B5">
        <w:t xml:space="preserve">A Emenda nº 24, também do Senador Waldemir Moka, propõe  alteração do art. 25 da Lei nº 4.829, de 1965, com a finalidade, dentre outras, de </w:t>
      </w:r>
      <w:r w:rsidR="00CB3F56">
        <w:t>modificar</w:t>
      </w:r>
      <w:r w:rsidR="009C636E">
        <w:t xml:space="preserve"> a composição do Comitê Gestor Interministerial do Seguro Rural e de </w:t>
      </w:r>
      <w:r w:rsidRPr="00B411B5">
        <w:t xml:space="preserve">obrigar que a instituição financeira que exigir a contratação de apólice de seguro rural como garantia para a concessão de crédito rural </w:t>
      </w:r>
      <w:r w:rsidR="009C636E">
        <w:t>ofereça</w:t>
      </w:r>
      <w:r w:rsidRPr="00B411B5">
        <w:t>, no mínimo, duas apólices de diferentes seguradoras.</w:t>
      </w:r>
      <w:r w:rsidR="00CA56CB">
        <w:t xml:space="preserve"> </w:t>
      </w:r>
      <w:r w:rsidR="009C636E">
        <w:t>Entendo que o</w:t>
      </w:r>
      <w:r w:rsidR="002765DE" w:rsidRPr="002765DE">
        <w:rPr>
          <w:u w:val="single"/>
        </w:rPr>
        <w:t xml:space="preserve"> Conselho Monetário Nacional possui a prerrogativa de estabelecer as regras para a contratação do Seguro Rural, não sendo necessária a delegação a outros órgãos. Ainda, as regras atuais já permitem a escolha da seguradora pelo mutuário. Finalmente, o Governo não pode interferir nas garantias exigidas pelas instituições financeiras sob pena de responsabilização compensatória em caso de perdas.</w:t>
      </w:r>
      <w:r w:rsidR="00CA56CB">
        <w:t xml:space="preserve"> </w:t>
      </w:r>
    </w:p>
    <w:p w:rsidR="00B02719" w:rsidRDefault="005E0E43" w:rsidP="00B411B5">
      <w:pPr>
        <w:pStyle w:val="Recuodecorpodetexto2"/>
        <w:spacing w:after="160"/>
        <w:ind w:firstLine="1418"/>
      </w:pPr>
      <w:r>
        <w:t>Ainda que não tenha sido objeto de emenda específica, e</w:t>
      </w:r>
      <w:r w:rsidR="00B02719">
        <w:t xml:space="preserve">ntendo, também, ser pertinente </w:t>
      </w:r>
      <w:r w:rsidRPr="009C636E">
        <w:rPr>
          <w:u w:val="single"/>
        </w:rPr>
        <w:t>incluir autorização para que o Poder Executivo disponha, em regulamento, sobre a remuneração a ser paga pelo FESR à ABGF</w:t>
      </w:r>
      <w:r w:rsidR="00D022A5">
        <w:rPr>
          <w:u w:val="single"/>
        </w:rPr>
        <w:t>, pela administração de seus recursos</w:t>
      </w:r>
      <w:r>
        <w:t xml:space="preserve">. </w:t>
      </w:r>
    </w:p>
    <w:p w:rsidR="00B02719" w:rsidRDefault="00B02719" w:rsidP="00B411B5">
      <w:pPr>
        <w:pStyle w:val="Recuodecorpodetexto2"/>
        <w:spacing w:after="160"/>
        <w:ind w:firstLine="1418"/>
      </w:pPr>
      <w:r w:rsidRPr="00B02719">
        <w:lastRenderedPageBreak/>
        <w:t xml:space="preserve">Além disso, creio ser prudente </w:t>
      </w:r>
      <w:r w:rsidRPr="002765DE">
        <w:rPr>
          <w:u w:val="single"/>
        </w:rPr>
        <w:t>ampliar o prazo para início da obrigatoriedade de que 50% das funções gerenciais da ABGF sejam exercidas por seu pessoal permanente, previsto no art. 53 da Lei nº 12.712, de 2012.</w:t>
      </w:r>
      <w:r w:rsidRPr="00B02719">
        <w:t xml:space="preserve"> Tal prazo mostra-se insuficiente para </w:t>
      </w:r>
      <w:r w:rsidR="00705CEE">
        <w:t xml:space="preserve">o decurso de tempo </w:t>
      </w:r>
      <w:r w:rsidRPr="00B02719">
        <w:t>necess</w:t>
      </w:r>
      <w:r w:rsidR="00705CEE">
        <w:t xml:space="preserve">ário </w:t>
      </w:r>
      <w:r w:rsidR="009D5C01">
        <w:t>à</w:t>
      </w:r>
      <w:r w:rsidRPr="00B02719">
        <w:t xml:space="preserve"> realiza</w:t>
      </w:r>
      <w:r w:rsidR="009D5C01">
        <w:t>ção</w:t>
      </w:r>
      <w:r w:rsidRPr="00B02719">
        <w:t xml:space="preserve"> </w:t>
      </w:r>
      <w:r w:rsidR="009D5C01">
        <w:t>de</w:t>
      </w:r>
      <w:r w:rsidRPr="00B02719">
        <w:t xml:space="preserve"> concurso, admi</w:t>
      </w:r>
      <w:r w:rsidR="009D5C01">
        <w:t>ssão</w:t>
      </w:r>
      <w:r w:rsidRPr="00B02719">
        <w:t>, integra</w:t>
      </w:r>
      <w:r w:rsidR="009D5C01">
        <w:t>ção</w:t>
      </w:r>
      <w:r w:rsidRPr="00B02719">
        <w:t xml:space="preserve"> e adapta</w:t>
      </w:r>
      <w:r w:rsidR="009D5C01">
        <w:t>ção</w:t>
      </w:r>
      <w:r w:rsidRPr="00B02719">
        <w:t xml:space="preserve"> </w:t>
      </w:r>
      <w:r w:rsidR="009D5C01">
        <w:t>d</w:t>
      </w:r>
      <w:r w:rsidRPr="00B02719">
        <w:t xml:space="preserve">os concursados às funções mais complexas da ABGF, de forma a assegurar a eficiência técnica em atividades de alto risco financeiro, realidade das atividades da empresa. </w:t>
      </w:r>
    </w:p>
    <w:p w:rsidR="00BA5A52" w:rsidRPr="00B02719" w:rsidRDefault="00BA5A52" w:rsidP="00B411B5">
      <w:pPr>
        <w:pStyle w:val="Recuodecorpodetexto2"/>
        <w:spacing w:after="160"/>
        <w:ind w:firstLine="1418"/>
      </w:pPr>
      <w:r>
        <w:t xml:space="preserve">Ainda, </w:t>
      </w:r>
      <w:r w:rsidR="009C636E">
        <w:t>acrescent</w:t>
      </w:r>
      <w:r w:rsidR="00514483">
        <w:t>o</w:t>
      </w:r>
      <w:r>
        <w:t xml:space="preserve"> dispositivo que </w:t>
      </w:r>
      <w:r w:rsidRPr="002765DE">
        <w:rPr>
          <w:u w:val="single"/>
        </w:rPr>
        <w:t>altera os arts. 108 e 113 do Decreto-Lei nº 73, de 21 de novembro de 1966, de modo a tornar efetivamente aplicáveis as sanções àqueles que realizem operações de seguro, cosseguro, resseguro, retrocessão e capitalização sem a devida autorização do órgão regulador de seguros.</w:t>
      </w:r>
    </w:p>
    <w:p w:rsidR="00157A02" w:rsidRDefault="00157A02" w:rsidP="003D7BDA">
      <w:pPr>
        <w:pStyle w:val="Recuodecorpodetexto2"/>
        <w:spacing w:after="160"/>
        <w:ind w:firstLine="1418"/>
      </w:pPr>
      <w:r w:rsidRPr="001D77E0">
        <w:t>Com base</w:t>
      </w:r>
      <w:r w:rsidRPr="00856E0D">
        <w:t xml:space="preserve"> no exposto e em razão do mérito da proposta, </w:t>
      </w:r>
      <w:r w:rsidRPr="00CC3E8A">
        <w:rPr>
          <w:b/>
        </w:rPr>
        <w:t xml:space="preserve">voto pela aprovação da Medida Provisória nº </w:t>
      </w:r>
      <w:r w:rsidR="00954CE1" w:rsidRPr="00CC3E8A">
        <w:rPr>
          <w:b/>
        </w:rPr>
        <w:t>682</w:t>
      </w:r>
      <w:r w:rsidRPr="00CC3E8A">
        <w:rPr>
          <w:b/>
        </w:rPr>
        <w:t xml:space="preserve">, de </w:t>
      </w:r>
      <w:r w:rsidRPr="00ED14B3">
        <w:rPr>
          <w:b/>
        </w:rPr>
        <w:t>201</w:t>
      </w:r>
      <w:r w:rsidR="00954CE1" w:rsidRPr="00ED14B3">
        <w:rPr>
          <w:b/>
        </w:rPr>
        <w:t>5</w:t>
      </w:r>
      <w:r w:rsidRPr="00ED14B3">
        <w:rPr>
          <w:b/>
        </w:rPr>
        <w:t xml:space="preserve">, </w:t>
      </w:r>
      <w:r w:rsidR="00ED14B3" w:rsidRPr="00ED14B3">
        <w:rPr>
          <w:b/>
        </w:rPr>
        <w:t>e rejeição de todas as emendas,</w:t>
      </w:r>
      <w:r w:rsidR="00ED14B3" w:rsidRPr="00ED14B3">
        <w:t xml:space="preserve"> </w:t>
      </w:r>
      <w:r w:rsidRPr="00CC3E8A">
        <w:rPr>
          <w:b/>
        </w:rPr>
        <w:t>nos termos do anexo Projeto de Lei de Conversão</w:t>
      </w:r>
      <w:r w:rsidRPr="00856E0D">
        <w:t>.</w:t>
      </w:r>
    </w:p>
    <w:p w:rsidR="00305D59" w:rsidRPr="00856E0D" w:rsidRDefault="00305D59">
      <w:pPr>
        <w:pStyle w:val="Recuodecorpodetexto2"/>
      </w:pPr>
    </w:p>
    <w:p w:rsidR="00157A02" w:rsidRPr="00856E0D" w:rsidRDefault="00157A02">
      <w:pPr>
        <w:pStyle w:val="Recuodecorpodetexto2"/>
      </w:pPr>
      <w:r w:rsidRPr="00856E0D">
        <w:t>Sala das Sessões, em     de                  de 201</w:t>
      </w:r>
      <w:r w:rsidR="00C94334">
        <w:t>5</w:t>
      </w:r>
      <w:r w:rsidRPr="00856E0D">
        <w:t>.</w:t>
      </w:r>
    </w:p>
    <w:p w:rsidR="00157A02" w:rsidRPr="00856E0D" w:rsidRDefault="00157A02">
      <w:pPr>
        <w:spacing w:line="360" w:lineRule="exact"/>
        <w:jc w:val="center"/>
        <w:rPr>
          <w:snapToGrid w:val="0"/>
          <w:color w:val="000000"/>
          <w:sz w:val="24"/>
        </w:rPr>
      </w:pPr>
    </w:p>
    <w:p w:rsidR="00157A02" w:rsidRPr="00856E0D" w:rsidRDefault="00157A02">
      <w:pPr>
        <w:spacing w:line="360" w:lineRule="exact"/>
        <w:jc w:val="center"/>
        <w:rPr>
          <w:snapToGrid w:val="0"/>
          <w:color w:val="000000"/>
          <w:sz w:val="24"/>
        </w:rPr>
      </w:pPr>
    </w:p>
    <w:p w:rsidR="00157A02" w:rsidRPr="00856E0D" w:rsidRDefault="00157A02">
      <w:pPr>
        <w:spacing w:line="360" w:lineRule="exact"/>
        <w:jc w:val="center"/>
        <w:rPr>
          <w:snapToGrid w:val="0"/>
          <w:color w:val="000000"/>
          <w:sz w:val="24"/>
        </w:rPr>
      </w:pPr>
      <w:r w:rsidRPr="00856E0D">
        <w:rPr>
          <w:snapToGrid w:val="0"/>
          <w:color w:val="000000"/>
          <w:sz w:val="24"/>
        </w:rPr>
        <w:t xml:space="preserve">Deputado </w:t>
      </w:r>
      <w:r w:rsidR="00C94334">
        <w:rPr>
          <w:snapToGrid w:val="0"/>
          <w:color w:val="000000"/>
          <w:sz w:val="24"/>
        </w:rPr>
        <w:t>Assis Carvalho</w:t>
      </w:r>
    </w:p>
    <w:p w:rsidR="00157A02" w:rsidRDefault="00157A02">
      <w:pPr>
        <w:spacing w:line="360" w:lineRule="exact"/>
        <w:jc w:val="center"/>
        <w:rPr>
          <w:snapToGrid w:val="0"/>
          <w:color w:val="000000"/>
          <w:sz w:val="24"/>
        </w:rPr>
      </w:pPr>
      <w:r w:rsidRPr="00856E0D">
        <w:rPr>
          <w:snapToGrid w:val="0"/>
          <w:color w:val="000000"/>
          <w:sz w:val="24"/>
        </w:rPr>
        <w:t>Relator</w:t>
      </w:r>
    </w:p>
    <w:p w:rsidR="00DC1E3A" w:rsidRDefault="00DC1E3A">
      <w:pPr>
        <w:spacing w:line="360" w:lineRule="exact"/>
        <w:jc w:val="center"/>
        <w:rPr>
          <w:snapToGrid w:val="0"/>
          <w:color w:val="000000"/>
          <w:sz w:val="24"/>
        </w:rPr>
      </w:pPr>
    </w:p>
    <w:p w:rsidR="00DC1E3A" w:rsidRDefault="00DC1E3A">
      <w:pPr>
        <w:spacing w:line="360" w:lineRule="exact"/>
        <w:jc w:val="center"/>
        <w:rPr>
          <w:snapToGrid w:val="0"/>
          <w:color w:val="000000"/>
          <w:sz w:val="24"/>
        </w:rPr>
      </w:pPr>
    </w:p>
    <w:p w:rsidR="00DC1E3A" w:rsidRDefault="00DC1E3A">
      <w:pPr>
        <w:spacing w:line="360" w:lineRule="exact"/>
        <w:jc w:val="center"/>
        <w:rPr>
          <w:snapToGrid w:val="0"/>
          <w:color w:val="000000"/>
          <w:sz w:val="24"/>
        </w:rPr>
      </w:pPr>
    </w:p>
    <w:p w:rsidR="00DC1E3A" w:rsidRDefault="00DC1E3A">
      <w:pPr>
        <w:spacing w:line="360" w:lineRule="exact"/>
        <w:jc w:val="center"/>
        <w:rPr>
          <w:snapToGrid w:val="0"/>
          <w:color w:val="000000"/>
          <w:sz w:val="24"/>
        </w:rPr>
      </w:pPr>
    </w:p>
    <w:p w:rsidR="00DC1E3A" w:rsidRDefault="00DC1E3A">
      <w:pPr>
        <w:spacing w:line="360" w:lineRule="exact"/>
        <w:jc w:val="center"/>
        <w:rPr>
          <w:snapToGrid w:val="0"/>
          <w:color w:val="000000"/>
          <w:sz w:val="24"/>
        </w:rPr>
      </w:pPr>
    </w:p>
    <w:p w:rsidR="00DC1E3A" w:rsidRDefault="00DC1E3A">
      <w:pPr>
        <w:spacing w:line="360" w:lineRule="exact"/>
        <w:jc w:val="center"/>
        <w:rPr>
          <w:snapToGrid w:val="0"/>
          <w:color w:val="000000"/>
          <w:sz w:val="24"/>
        </w:rPr>
      </w:pPr>
    </w:p>
    <w:p w:rsidR="00DC1E3A" w:rsidRDefault="00DC1E3A">
      <w:pPr>
        <w:spacing w:line="360" w:lineRule="exact"/>
        <w:jc w:val="center"/>
        <w:rPr>
          <w:snapToGrid w:val="0"/>
          <w:color w:val="000000"/>
          <w:sz w:val="24"/>
        </w:rPr>
      </w:pPr>
    </w:p>
    <w:p w:rsidR="00DC1E3A" w:rsidRDefault="00DC1E3A">
      <w:pPr>
        <w:spacing w:line="360" w:lineRule="exact"/>
        <w:jc w:val="center"/>
        <w:rPr>
          <w:snapToGrid w:val="0"/>
          <w:color w:val="000000"/>
          <w:sz w:val="24"/>
        </w:rPr>
      </w:pPr>
    </w:p>
    <w:p w:rsidR="00DC1E3A" w:rsidRDefault="00DC1E3A">
      <w:pPr>
        <w:spacing w:line="360" w:lineRule="exact"/>
        <w:jc w:val="center"/>
        <w:rPr>
          <w:snapToGrid w:val="0"/>
          <w:color w:val="000000"/>
          <w:sz w:val="24"/>
        </w:rPr>
      </w:pPr>
    </w:p>
    <w:p w:rsidR="00DC1E3A" w:rsidRDefault="00DC1E3A">
      <w:pPr>
        <w:spacing w:line="360" w:lineRule="exact"/>
        <w:jc w:val="center"/>
        <w:rPr>
          <w:snapToGrid w:val="0"/>
          <w:color w:val="000000"/>
          <w:sz w:val="24"/>
        </w:rPr>
      </w:pPr>
    </w:p>
    <w:p w:rsidR="00DC1E3A" w:rsidRDefault="00DC1E3A">
      <w:pPr>
        <w:spacing w:line="360" w:lineRule="exact"/>
        <w:jc w:val="center"/>
        <w:rPr>
          <w:snapToGrid w:val="0"/>
          <w:color w:val="000000"/>
          <w:sz w:val="24"/>
        </w:rPr>
      </w:pPr>
    </w:p>
    <w:p w:rsidR="00DC1E3A" w:rsidRDefault="00DC1E3A">
      <w:pPr>
        <w:spacing w:line="360" w:lineRule="exact"/>
        <w:jc w:val="center"/>
        <w:rPr>
          <w:snapToGrid w:val="0"/>
          <w:color w:val="000000"/>
          <w:sz w:val="24"/>
        </w:rPr>
      </w:pPr>
    </w:p>
    <w:p w:rsidR="00DC1E3A" w:rsidRDefault="00DC1E3A">
      <w:pPr>
        <w:spacing w:line="360" w:lineRule="exact"/>
        <w:jc w:val="center"/>
        <w:rPr>
          <w:snapToGrid w:val="0"/>
          <w:color w:val="000000"/>
          <w:sz w:val="24"/>
        </w:rPr>
      </w:pPr>
    </w:p>
    <w:p w:rsidR="00DC1E3A" w:rsidRDefault="00DC1E3A">
      <w:pPr>
        <w:spacing w:line="360" w:lineRule="exact"/>
        <w:jc w:val="center"/>
        <w:rPr>
          <w:snapToGrid w:val="0"/>
          <w:color w:val="000000"/>
          <w:sz w:val="24"/>
        </w:rPr>
      </w:pPr>
    </w:p>
    <w:p w:rsidR="0056121F" w:rsidRDefault="0056121F">
      <w:pPr>
        <w:spacing w:line="360" w:lineRule="exact"/>
        <w:jc w:val="center"/>
        <w:rPr>
          <w:snapToGrid w:val="0"/>
          <w:color w:val="000000"/>
          <w:sz w:val="24"/>
        </w:rPr>
      </w:pPr>
    </w:p>
    <w:p w:rsidR="0056121F" w:rsidRDefault="0056121F">
      <w:pPr>
        <w:spacing w:line="360" w:lineRule="exact"/>
        <w:jc w:val="center"/>
        <w:rPr>
          <w:snapToGrid w:val="0"/>
          <w:color w:val="000000"/>
          <w:sz w:val="24"/>
        </w:rPr>
      </w:pPr>
    </w:p>
    <w:p w:rsidR="00DC1E3A" w:rsidRDefault="00DC1E3A">
      <w:pPr>
        <w:spacing w:line="360" w:lineRule="exact"/>
        <w:jc w:val="center"/>
        <w:rPr>
          <w:snapToGrid w:val="0"/>
          <w:color w:val="000000"/>
          <w:sz w:val="24"/>
        </w:rPr>
      </w:pPr>
    </w:p>
    <w:p w:rsidR="00DC1E3A" w:rsidRDefault="00DC1E3A">
      <w:pPr>
        <w:spacing w:line="360" w:lineRule="exact"/>
        <w:jc w:val="center"/>
        <w:rPr>
          <w:snapToGrid w:val="0"/>
          <w:color w:val="000000"/>
          <w:sz w:val="24"/>
        </w:rPr>
      </w:pPr>
    </w:p>
    <w:p w:rsidR="00DC1E3A" w:rsidRPr="00856E0D" w:rsidRDefault="00DC1E3A">
      <w:pPr>
        <w:spacing w:line="360" w:lineRule="exact"/>
        <w:jc w:val="center"/>
        <w:rPr>
          <w:snapToGrid w:val="0"/>
          <w:color w:val="000000"/>
          <w:sz w:val="24"/>
        </w:rPr>
      </w:pPr>
    </w:p>
    <w:p w:rsidR="009C636E" w:rsidRDefault="009C636E">
      <w:pPr>
        <w:pStyle w:val="Ttulo2Subttulo1"/>
        <w:keepNext w:val="0"/>
        <w:spacing w:after="0" w:line="240" w:lineRule="auto"/>
        <w:ind w:firstLine="0"/>
        <w:rPr>
          <w:color w:val="auto"/>
        </w:rPr>
      </w:pPr>
    </w:p>
    <w:p w:rsidR="009C636E" w:rsidRDefault="009C636E">
      <w:pPr>
        <w:pStyle w:val="Ttulo2Subttulo1"/>
        <w:keepNext w:val="0"/>
        <w:spacing w:after="0" w:line="240" w:lineRule="auto"/>
        <w:ind w:firstLine="0"/>
        <w:rPr>
          <w:color w:val="auto"/>
        </w:rPr>
      </w:pPr>
    </w:p>
    <w:p w:rsidR="009C636E" w:rsidRDefault="009C636E">
      <w:pPr>
        <w:pStyle w:val="Ttulo2Subttulo1"/>
        <w:keepNext w:val="0"/>
        <w:spacing w:after="0" w:line="240" w:lineRule="auto"/>
        <w:ind w:firstLine="0"/>
        <w:rPr>
          <w:color w:val="auto"/>
        </w:rPr>
      </w:pPr>
    </w:p>
    <w:p w:rsidR="009C636E" w:rsidRDefault="009C636E">
      <w:pPr>
        <w:pStyle w:val="Ttulo2Subttulo1"/>
        <w:keepNext w:val="0"/>
        <w:spacing w:after="0" w:line="240" w:lineRule="auto"/>
        <w:ind w:firstLine="0"/>
        <w:rPr>
          <w:color w:val="auto"/>
        </w:rPr>
      </w:pPr>
    </w:p>
    <w:p w:rsidR="009C636E" w:rsidRDefault="009C636E">
      <w:pPr>
        <w:pStyle w:val="Ttulo2Subttulo1"/>
        <w:keepNext w:val="0"/>
        <w:spacing w:after="0" w:line="240" w:lineRule="auto"/>
        <w:ind w:firstLine="0"/>
        <w:rPr>
          <w:color w:val="auto"/>
        </w:rPr>
      </w:pPr>
    </w:p>
    <w:p w:rsidR="009C636E" w:rsidRDefault="009C636E">
      <w:pPr>
        <w:pStyle w:val="Ttulo2Subttulo1"/>
        <w:keepNext w:val="0"/>
        <w:spacing w:after="0" w:line="240" w:lineRule="auto"/>
        <w:ind w:firstLine="0"/>
        <w:rPr>
          <w:color w:val="auto"/>
        </w:rPr>
      </w:pPr>
    </w:p>
    <w:p w:rsidR="009C636E" w:rsidRDefault="009C636E">
      <w:pPr>
        <w:pStyle w:val="Ttulo2Subttulo1"/>
        <w:keepNext w:val="0"/>
        <w:spacing w:after="0" w:line="240" w:lineRule="auto"/>
        <w:ind w:firstLine="0"/>
        <w:rPr>
          <w:color w:val="auto"/>
        </w:rPr>
      </w:pPr>
    </w:p>
    <w:p w:rsidR="00157A02" w:rsidRPr="00856E0D" w:rsidRDefault="00157A02">
      <w:pPr>
        <w:pStyle w:val="Ttulo2Subttulo1"/>
        <w:keepNext w:val="0"/>
        <w:spacing w:after="0" w:line="240" w:lineRule="auto"/>
        <w:ind w:firstLine="0"/>
        <w:rPr>
          <w:color w:val="auto"/>
        </w:rPr>
      </w:pPr>
      <w:r w:rsidRPr="00856E0D">
        <w:rPr>
          <w:color w:val="auto"/>
        </w:rPr>
        <w:t xml:space="preserve">MEDIDA PROVISÓRIA Nº </w:t>
      </w:r>
      <w:r w:rsidR="00305D59">
        <w:rPr>
          <w:color w:val="auto"/>
        </w:rPr>
        <w:t>682</w:t>
      </w:r>
      <w:r w:rsidRPr="00856E0D">
        <w:rPr>
          <w:color w:val="auto"/>
        </w:rPr>
        <w:t>, DE 201</w:t>
      </w:r>
      <w:r w:rsidR="00305D59">
        <w:rPr>
          <w:color w:val="auto"/>
        </w:rPr>
        <w:t>5</w:t>
      </w:r>
    </w:p>
    <w:p w:rsidR="00305D59" w:rsidRDefault="00305D59">
      <w:pPr>
        <w:pStyle w:val="Ttulo1"/>
        <w:spacing w:before="600" w:after="0"/>
        <w:jc w:val="center"/>
      </w:pPr>
    </w:p>
    <w:p w:rsidR="00157A02" w:rsidRPr="00856E0D" w:rsidRDefault="00157A02">
      <w:pPr>
        <w:pStyle w:val="Ttulo1"/>
        <w:spacing w:before="600" w:after="0"/>
        <w:jc w:val="center"/>
      </w:pPr>
      <w:r w:rsidRPr="00856E0D">
        <w:t xml:space="preserve">PROJETO DE LEI DE CONVERSÃO </w:t>
      </w:r>
    </w:p>
    <w:p w:rsidR="00157A02" w:rsidRPr="00856E0D" w:rsidRDefault="00305D59">
      <w:pPr>
        <w:pStyle w:val="Ementa"/>
        <w:spacing w:before="840" w:line="280" w:lineRule="exact"/>
      </w:pPr>
      <w:r w:rsidRPr="00EF3887">
        <w:t>Altera a Lei n</w:t>
      </w:r>
      <w:r>
        <w:t>º</w:t>
      </w:r>
      <w:r w:rsidRPr="00EF3887">
        <w:t xml:space="preserve"> 12.712, de 30 de agosto de 2012, para estabelecer que a Agência Brasileira Gestora de Fundos Garantidores e Garantias S.A. </w:t>
      </w:r>
      <w:r>
        <w:t>–</w:t>
      </w:r>
      <w:r w:rsidRPr="00EF3887">
        <w:t xml:space="preserve"> ABGF ficará encarregada da gestão do Fundo de Estabilidade do Seguro Rural </w:t>
      </w:r>
      <w:r>
        <w:t>–</w:t>
      </w:r>
      <w:r w:rsidRPr="00EF3887">
        <w:t xml:space="preserve"> FESR</w:t>
      </w:r>
      <w:r>
        <w:t xml:space="preserve"> </w:t>
      </w:r>
      <w:r w:rsidRPr="00EF3887">
        <w:t>até a completa liquidação das obrigações deste Fundo.</w:t>
      </w:r>
    </w:p>
    <w:p w:rsidR="00157A02" w:rsidRPr="00856E0D" w:rsidRDefault="00157A02">
      <w:pPr>
        <w:pStyle w:val="Corpo"/>
        <w:spacing w:after="600"/>
      </w:pPr>
    </w:p>
    <w:p w:rsidR="00157A02" w:rsidRPr="00856E0D" w:rsidRDefault="00157A02">
      <w:pPr>
        <w:pStyle w:val="Corpo"/>
        <w:spacing w:after="600"/>
      </w:pPr>
      <w:r w:rsidRPr="00856E0D">
        <w:t>O Congresso Nacional decreta:</w:t>
      </w:r>
    </w:p>
    <w:p w:rsidR="00305D59" w:rsidRPr="00305D59" w:rsidRDefault="00305D59" w:rsidP="00305D59">
      <w:pPr>
        <w:pStyle w:val="CorpoPadro"/>
      </w:pPr>
      <w:r w:rsidRPr="00305D59">
        <w:rPr>
          <w:b/>
        </w:rPr>
        <w:t>Art. 1</w:t>
      </w:r>
      <w:r>
        <w:rPr>
          <w:b/>
        </w:rPr>
        <w:t>º</w:t>
      </w:r>
      <w:r w:rsidRPr="00305D59">
        <w:t xml:space="preserve"> A Lei nº 12.712, de 30 de agosto de 2012, passa a vigorar com as seguintes alterações: </w:t>
      </w:r>
    </w:p>
    <w:p w:rsidR="00305D59" w:rsidRPr="00305D59" w:rsidRDefault="00305D59" w:rsidP="006A6648">
      <w:pPr>
        <w:pStyle w:val="CorpoPadro"/>
        <w:ind w:left="1418" w:firstLine="0"/>
      </w:pPr>
      <w:r w:rsidRPr="00305D59">
        <w:t>“Art.</w:t>
      </w:r>
      <w:r w:rsidR="006A6648">
        <w:t xml:space="preserve"> </w:t>
      </w:r>
      <w:r w:rsidRPr="00305D59">
        <w:t>38..........................................................</w:t>
      </w:r>
      <w:r>
        <w:t>...................</w:t>
      </w:r>
      <w:r w:rsidRPr="00305D59">
        <w:t>..............</w:t>
      </w:r>
      <w:r>
        <w:t>...</w:t>
      </w:r>
    </w:p>
    <w:p w:rsidR="00305D59" w:rsidRDefault="00305D59" w:rsidP="006A6648">
      <w:pPr>
        <w:pStyle w:val="CorpoPadro"/>
        <w:ind w:left="1418" w:firstLine="0"/>
      </w:pPr>
      <w:r w:rsidRPr="00305D59">
        <w:t>§ 5</w:t>
      </w:r>
      <w:r>
        <w:t>º</w:t>
      </w:r>
      <w:r w:rsidRPr="00305D59">
        <w:t xml:space="preserve"> Fica a ABGF encarregada da gestão do Fundo de Estabilidade do Seguro Rural - FESR até a completa liquidação das obrigações deste Fundo, observadas as regras estabelecidas pelo Conselho Nacional de Seguros Privados - CNSP, conforme previsto no art. 18 da Lei Complementar n</w:t>
      </w:r>
      <w:r w:rsidR="009C636E">
        <w:t>º 137, de 26 de agosto de 2010.</w:t>
      </w:r>
      <w:r w:rsidRPr="00305D59">
        <w:t xml:space="preserve"> </w:t>
      </w:r>
    </w:p>
    <w:p w:rsidR="00690957" w:rsidRDefault="00690957" w:rsidP="006A6648">
      <w:pPr>
        <w:pStyle w:val="CorpoPadro"/>
        <w:ind w:left="1418" w:firstLine="0"/>
      </w:pPr>
      <w:r w:rsidRPr="00690957">
        <w:t xml:space="preserve">§ 6º Ato do Poder Executivo disporá sobre a remuneração da ABGF pela gestão do fundo de que trata o § 5º. </w:t>
      </w:r>
      <w:r w:rsidRPr="006A6648">
        <w:t>(NR)</w:t>
      </w:r>
      <w:r w:rsidR="00003FB8">
        <w:t>”</w:t>
      </w:r>
    </w:p>
    <w:p w:rsidR="00690957" w:rsidRDefault="00690957" w:rsidP="006A6648">
      <w:pPr>
        <w:pStyle w:val="CorpoPadro"/>
        <w:ind w:left="1418" w:firstLine="0"/>
      </w:pPr>
      <w:r>
        <w:lastRenderedPageBreak/>
        <w:t>..........................................................................................................</w:t>
      </w:r>
    </w:p>
    <w:p w:rsidR="00690957" w:rsidRDefault="00690957" w:rsidP="006A6648">
      <w:pPr>
        <w:pStyle w:val="CorpoPadro"/>
        <w:ind w:left="1418" w:firstLine="0"/>
      </w:pPr>
      <w:r>
        <w:t>“Art.</w:t>
      </w:r>
      <w:r w:rsidR="007136E3">
        <w:t xml:space="preserve"> </w:t>
      </w:r>
      <w:r>
        <w:t xml:space="preserve">53 </w:t>
      </w:r>
      <w:r w:rsidRPr="00690957">
        <w:t>Após 10 (dez) anos de constituição da ABGF ou após 5 (cinco) anos da convocação para posse decorrente de seu primeiro concurso público, o que advier primeiro, pelo menos 50% das suas funções gerenciais deverão ser exercidas por seu pessoal permanente.</w:t>
      </w:r>
      <w:r w:rsidR="006A6648">
        <w:t xml:space="preserve"> </w:t>
      </w:r>
      <w:r w:rsidR="007136E3" w:rsidRPr="006A6648">
        <w:t>(NR)</w:t>
      </w:r>
      <w:r w:rsidR="00465BB2">
        <w:t>”</w:t>
      </w:r>
    </w:p>
    <w:p w:rsidR="00F555F9" w:rsidRPr="00F555F9" w:rsidRDefault="001516D0" w:rsidP="00F555F9">
      <w:pPr>
        <w:pStyle w:val="CorpoPadro"/>
      </w:pPr>
      <w:r>
        <w:rPr>
          <w:b/>
        </w:rPr>
        <w:t xml:space="preserve">Art. </w:t>
      </w:r>
      <w:r w:rsidR="00BB7116">
        <w:rPr>
          <w:b/>
        </w:rPr>
        <w:t>2</w:t>
      </w:r>
      <w:r w:rsidR="00F555F9" w:rsidRPr="00F555F9">
        <w:rPr>
          <w:b/>
        </w:rPr>
        <w:t>º</w:t>
      </w:r>
      <w:r w:rsidR="00F555F9" w:rsidRPr="00F555F9">
        <w:t>. Os arts. 108 e 113 do Decreto-Lei nº 73, de 21 de novembro de 1966, passam a vigorar com as seguintes alterações:</w:t>
      </w:r>
    </w:p>
    <w:p w:rsidR="00F555F9" w:rsidRPr="00F555F9" w:rsidRDefault="00F555F9" w:rsidP="00F555F9">
      <w:pPr>
        <w:pStyle w:val="CorpoPadro"/>
        <w:ind w:left="1418" w:firstLine="0"/>
      </w:pPr>
      <w:r w:rsidRPr="00F555F9">
        <w:t>“Art. 108.................................................................</w:t>
      </w:r>
      <w:r>
        <w:t>.........................</w:t>
      </w:r>
      <w:r w:rsidRPr="00F555F9">
        <w:t>.</w:t>
      </w:r>
    </w:p>
    <w:p w:rsidR="00F555F9" w:rsidRPr="00F555F9" w:rsidRDefault="00F555F9" w:rsidP="00F555F9">
      <w:pPr>
        <w:pStyle w:val="CorpoPadro"/>
        <w:ind w:left="1418" w:firstLine="0"/>
      </w:pPr>
      <w:r w:rsidRPr="00F555F9">
        <w:t>§ 1º Caso a penalidade prevista no inciso IV do caput deste artigo seja aplicada na pessoa natural, responderá solidariamente o ressegurador ou a sociedade seguradora ou de capitalização, assegurado o direito de regresso, e poderá ser cumulada com as penalidades constantes dos incisos I, II, III ou V do caput deste artigo.</w:t>
      </w:r>
      <w:r w:rsidR="006A6648">
        <w:t xml:space="preserve"> </w:t>
      </w:r>
      <w:r w:rsidR="006A6648" w:rsidRPr="00F555F9">
        <w:t>(NR)</w:t>
      </w:r>
      <w:r w:rsidR="00465BB2">
        <w:t>”</w:t>
      </w:r>
    </w:p>
    <w:p w:rsidR="00F555F9" w:rsidRPr="00F555F9" w:rsidRDefault="00F555F9" w:rsidP="00F555F9">
      <w:pPr>
        <w:pStyle w:val="CorpoPadro"/>
        <w:ind w:left="1418" w:firstLine="0"/>
      </w:pPr>
      <w:r w:rsidRPr="00F555F9">
        <w:t>.......................................................</w:t>
      </w:r>
      <w:r w:rsidR="00002A67">
        <w:t>..............</w:t>
      </w:r>
      <w:r w:rsidRPr="00F555F9">
        <w:t>.....................................</w:t>
      </w:r>
    </w:p>
    <w:p w:rsidR="00F555F9" w:rsidRPr="00F555F9" w:rsidRDefault="00F555F9" w:rsidP="00F555F9">
      <w:pPr>
        <w:pStyle w:val="CorpoPadro"/>
        <w:ind w:left="1418" w:firstLine="0"/>
      </w:pPr>
      <w:r w:rsidRPr="00F555F9">
        <w:t xml:space="preserve">"Art. 113. As pessoas naturais ou jurídicas que realizarem operações de capitalização, seguro, cosseguro ou resseguro sem a devida autorização, estão sujeitas às penalidades administrativas previstas no artigo 108, aplicadas pelo órgão fiscalizador de seguros, aumentadas até o triplo. </w:t>
      </w:r>
    </w:p>
    <w:p w:rsidR="00F555F9" w:rsidRPr="00F555F9" w:rsidRDefault="00F555F9" w:rsidP="00F555F9">
      <w:pPr>
        <w:pStyle w:val="CorpoPadro"/>
        <w:ind w:left="1418" w:firstLine="0"/>
      </w:pPr>
      <w:r w:rsidRPr="00F555F9">
        <w:t xml:space="preserve"> §1º Caso a penalidade de multa seja aplicada na pessoa natural, responderá solidariamente a pessoa jurídica, assegurado o direito de regresso, e poderá ser cumulada com as penalidades constantes dos incisos I, II, III e V do caput do art. 108.</w:t>
      </w:r>
    </w:p>
    <w:p w:rsidR="00F555F9" w:rsidRPr="00F555F9" w:rsidRDefault="00F555F9" w:rsidP="00F555F9">
      <w:pPr>
        <w:pStyle w:val="CorpoPadro"/>
        <w:ind w:left="1418" w:firstLine="0"/>
      </w:pPr>
      <w:r w:rsidRPr="00F555F9">
        <w:t>§2º A multa prevista no caput será fixada com base na importância segurada ou em outro parâmetro a ser definido pelo órgão regulador de seguros.</w:t>
      </w:r>
      <w:r w:rsidR="006A6648">
        <w:t xml:space="preserve"> </w:t>
      </w:r>
      <w:r w:rsidRPr="00F555F9">
        <w:t>(NR)</w:t>
      </w:r>
      <w:r w:rsidR="00465BB2">
        <w:t>”</w:t>
      </w:r>
    </w:p>
    <w:p w:rsidR="00F555F9" w:rsidRPr="00F555F9" w:rsidRDefault="00F555F9" w:rsidP="00F555F9">
      <w:pPr>
        <w:pStyle w:val="CorpoPadro"/>
      </w:pPr>
      <w:r w:rsidRPr="00F555F9">
        <w:rPr>
          <w:b/>
        </w:rPr>
        <w:lastRenderedPageBreak/>
        <w:t xml:space="preserve">Art. </w:t>
      </w:r>
      <w:r w:rsidR="00BB7116">
        <w:rPr>
          <w:b/>
        </w:rPr>
        <w:t>3</w:t>
      </w:r>
      <w:r w:rsidRPr="00F555F9">
        <w:rPr>
          <w:b/>
        </w:rPr>
        <w:t>º</w:t>
      </w:r>
      <w:r w:rsidRPr="00F555F9">
        <w:t xml:space="preserve"> </w:t>
      </w:r>
      <w:r w:rsidR="001D3BE2">
        <w:t>O disposto no</w:t>
      </w:r>
      <w:r>
        <w:t xml:space="preserve"> art. </w:t>
      </w:r>
      <w:r w:rsidR="00BB7116">
        <w:t>2</w:t>
      </w:r>
      <w:r>
        <w:t xml:space="preserve">º </w:t>
      </w:r>
      <w:r w:rsidRPr="00F555F9">
        <w:t>aplica-se a ato ou fato pretérito não definitivamente julgado quando lhe comine penalidade menos severa que a prevista na lei vigente ao tempo da sua prática.</w:t>
      </w:r>
    </w:p>
    <w:p w:rsidR="00305D59" w:rsidRDefault="00305D59" w:rsidP="00305D59">
      <w:pPr>
        <w:pStyle w:val="CorpoPadro"/>
      </w:pPr>
      <w:r w:rsidRPr="00305D59">
        <w:rPr>
          <w:b/>
        </w:rPr>
        <w:t xml:space="preserve">Art. </w:t>
      </w:r>
      <w:r w:rsidR="00BB7116">
        <w:rPr>
          <w:b/>
        </w:rPr>
        <w:t>4</w:t>
      </w:r>
      <w:r>
        <w:rPr>
          <w:b/>
        </w:rPr>
        <w:t>º</w:t>
      </w:r>
      <w:r w:rsidRPr="00305D59">
        <w:t xml:space="preserve"> Esta </w:t>
      </w:r>
      <w:r w:rsidR="00690957">
        <w:t>Lei</w:t>
      </w:r>
      <w:r w:rsidRPr="00305D59">
        <w:t xml:space="preserve"> entra em vigor na data de sua publicação.</w:t>
      </w:r>
    </w:p>
    <w:p w:rsidR="00305D59" w:rsidRPr="00305D59" w:rsidRDefault="00305D59" w:rsidP="00305D59">
      <w:pPr>
        <w:pStyle w:val="CorpoPadro"/>
      </w:pPr>
    </w:p>
    <w:p w:rsidR="00157A02" w:rsidRDefault="00157A02">
      <w:pPr>
        <w:pStyle w:val="data"/>
      </w:pPr>
      <w:r>
        <w:t>Sala das Sessões, em        de                           de 201</w:t>
      </w:r>
      <w:r w:rsidR="00D023A1">
        <w:t>5</w:t>
      </w:r>
      <w:r>
        <w:t>.</w:t>
      </w:r>
    </w:p>
    <w:p w:rsidR="00157A02" w:rsidRDefault="00157A02">
      <w:pPr>
        <w:pStyle w:val="Ttulo6"/>
        <w:spacing w:line="360" w:lineRule="exact"/>
        <w:rPr>
          <w:b/>
        </w:rPr>
      </w:pPr>
      <w:r>
        <w:rPr>
          <w:b/>
        </w:rPr>
        <w:t xml:space="preserve">Deputado </w:t>
      </w:r>
      <w:r w:rsidR="00FA1FE9">
        <w:rPr>
          <w:b/>
          <w:color w:val="000000"/>
        </w:rPr>
        <w:t>Assis Carvalho</w:t>
      </w:r>
    </w:p>
    <w:p w:rsidR="00157A02" w:rsidRDefault="00122666" w:rsidP="00122666">
      <w:pPr>
        <w:spacing w:line="360" w:lineRule="exact"/>
        <w:ind w:firstLine="2302"/>
        <w:jc w:val="center"/>
        <w:rPr>
          <w:b/>
          <w:snapToGrid w:val="0"/>
          <w:sz w:val="24"/>
        </w:rPr>
      </w:pPr>
      <w:r>
        <w:rPr>
          <w:b/>
          <w:snapToGrid w:val="0"/>
          <w:sz w:val="24"/>
        </w:rPr>
        <w:t>Relator</w:t>
      </w:r>
    </w:p>
    <w:p w:rsidR="005B4C15" w:rsidRDefault="005B4C15" w:rsidP="00122666">
      <w:pPr>
        <w:spacing w:line="360" w:lineRule="exact"/>
        <w:ind w:firstLine="2302"/>
        <w:jc w:val="center"/>
        <w:rPr>
          <w:b/>
          <w:snapToGrid w:val="0"/>
          <w:sz w:val="24"/>
        </w:rPr>
      </w:pPr>
    </w:p>
    <w:p w:rsidR="005B4C15" w:rsidRDefault="005B4C15" w:rsidP="00122666">
      <w:pPr>
        <w:spacing w:line="360" w:lineRule="exact"/>
        <w:ind w:firstLine="2302"/>
        <w:jc w:val="center"/>
        <w:rPr>
          <w:b/>
          <w:snapToGrid w:val="0"/>
          <w:sz w:val="24"/>
        </w:rPr>
      </w:pPr>
    </w:p>
    <w:p w:rsidR="005B4C15" w:rsidRDefault="005B4C15" w:rsidP="00122666">
      <w:pPr>
        <w:spacing w:line="360" w:lineRule="exact"/>
        <w:ind w:firstLine="2302"/>
        <w:jc w:val="center"/>
        <w:rPr>
          <w:b/>
          <w:snapToGrid w:val="0"/>
          <w:sz w:val="24"/>
        </w:rPr>
      </w:pPr>
    </w:p>
    <w:p w:rsidR="005B4C15" w:rsidRDefault="005B4C15" w:rsidP="00122666">
      <w:pPr>
        <w:spacing w:line="360" w:lineRule="exact"/>
        <w:ind w:firstLine="2302"/>
        <w:jc w:val="center"/>
        <w:rPr>
          <w:b/>
          <w:snapToGrid w:val="0"/>
          <w:sz w:val="24"/>
        </w:rPr>
      </w:pPr>
    </w:p>
    <w:p w:rsidR="005B4C15" w:rsidRDefault="005B4C15" w:rsidP="00122666">
      <w:pPr>
        <w:spacing w:line="360" w:lineRule="exact"/>
        <w:ind w:firstLine="2302"/>
        <w:jc w:val="center"/>
        <w:rPr>
          <w:b/>
          <w:snapToGrid w:val="0"/>
          <w:sz w:val="24"/>
        </w:rPr>
      </w:pPr>
    </w:p>
    <w:p w:rsidR="005B4C15" w:rsidRDefault="005B4C15" w:rsidP="00122666">
      <w:pPr>
        <w:spacing w:line="360" w:lineRule="exact"/>
        <w:ind w:firstLine="2302"/>
        <w:jc w:val="center"/>
        <w:rPr>
          <w:b/>
          <w:snapToGrid w:val="0"/>
          <w:sz w:val="24"/>
        </w:rPr>
      </w:pPr>
    </w:p>
    <w:p w:rsidR="005B4C15" w:rsidRDefault="005B4C15" w:rsidP="00122666">
      <w:pPr>
        <w:spacing w:line="360" w:lineRule="exact"/>
        <w:ind w:firstLine="2302"/>
        <w:jc w:val="center"/>
        <w:rPr>
          <w:b/>
          <w:snapToGrid w:val="0"/>
          <w:sz w:val="24"/>
        </w:rPr>
      </w:pPr>
    </w:p>
    <w:p w:rsidR="005B4C15" w:rsidRPr="004A2C3D" w:rsidRDefault="005B4C15" w:rsidP="004A2C3D">
      <w:pPr>
        <w:widowControl w:val="0"/>
        <w:spacing w:before="720" w:line="240" w:lineRule="exact"/>
        <w:rPr>
          <w:snapToGrid w:val="0"/>
          <w:color w:val="000000"/>
          <w:sz w:val="16"/>
        </w:rPr>
      </w:pPr>
      <w:fldSimple w:instr=" FILENAME  \* MERGEFORMAT ">
        <w:r w:rsidR="000F20CB">
          <w:rPr>
            <w:noProof/>
            <w:snapToGrid w:val="0"/>
            <w:color w:val="000000"/>
            <w:sz w:val="16"/>
          </w:rPr>
          <w:t>2015_20228</w:t>
        </w:r>
      </w:fldSimple>
    </w:p>
    <w:sectPr w:rsidR="005B4C15" w:rsidRPr="004A2C3D">
      <w:footerReference w:type="default" r:id="rId7"/>
      <w:pgSz w:w="11908" w:h="16833"/>
      <w:pgMar w:top="1985" w:right="1701" w:bottom="1134" w:left="1701"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177" w:rsidRDefault="00DB6177">
      <w:r>
        <w:separator/>
      </w:r>
    </w:p>
  </w:endnote>
  <w:endnote w:type="continuationSeparator" w:id="0">
    <w:p w:rsidR="00DB6177" w:rsidRDefault="00DB61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02" w:rsidRDefault="00157A02">
    <w:pPr>
      <w:pStyle w:val="Rodap"/>
      <w:jc w:val="right"/>
    </w:pPr>
    <w:fldSimple w:instr="PAGE   \* MERGEFORMAT">
      <w:r w:rsidR="008D40B4">
        <w:rPr>
          <w:noProof/>
        </w:rPr>
        <w:t>7</w:t>
      </w:r>
    </w:fldSimple>
  </w:p>
  <w:p w:rsidR="00157A02" w:rsidRDefault="00157A0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177" w:rsidRDefault="00DB6177">
      <w:r>
        <w:separator/>
      </w:r>
    </w:p>
  </w:footnote>
  <w:footnote w:type="continuationSeparator" w:id="0">
    <w:p w:rsidR="00DB6177" w:rsidRDefault="00DB6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D11BD"/>
    <w:multiLevelType w:val="hybridMultilevel"/>
    <w:tmpl w:val="6E1491DA"/>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5FF44EDF"/>
    <w:multiLevelType w:val="multilevel"/>
    <w:tmpl w:val="17F8EF38"/>
    <w:lvl w:ilvl="0">
      <w:start w:val="1"/>
      <w:numFmt w:val="upperLetter"/>
      <w:pStyle w:val="Ttulo7"/>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26C62EF"/>
    <w:multiLevelType w:val="singleLevel"/>
    <w:tmpl w:val="5E10F470"/>
    <w:lvl w:ilvl="0">
      <w:start w:val="1"/>
      <w:numFmt w:val="ordinal"/>
      <w:pStyle w:val="Artigo"/>
      <w:lvlText w:val="Art. %1 "/>
      <w:lvlJc w:val="left"/>
      <w:pPr>
        <w:tabs>
          <w:tab w:val="num" w:pos="1440"/>
        </w:tabs>
        <w:ind w:left="36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grammar="clean"/>
  <w:attachedTemplate r:id="rId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42373C"/>
    <w:rsid w:val="00002A67"/>
    <w:rsid w:val="00003FB8"/>
    <w:rsid w:val="0001410E"/>
    <w:rsid w:val="00031C2E"/>
    <w:rsid w:val="00031E41"/>
    <w:rsid w:val="00047CB8"/>
    <w:rsid w:val="00054979"/>
    <w:rsid w:val="00063B8B"/>
    <w:rsid w:val="000802D9"/>
    <w:rsid w:val="000B0D3F"/>
    <w:rsid w:val="000F20CB"/>
    <w:rsid w:val="00122666"/>
    <w:rsid w:val="0015167D"/>
    <w:rsid w:val="001516D0"/>
    <w:rsid w:val="0015705C"/>
    <w:rsid w:val="00157A02"/>
    <w:rsid w:val="00170028"/>
    <w:rsid w:val="001B7DE0"/>
    <w:rsid w:val="001C4E3F"/>
    <w:rsid w:val="001C5066"/>
    <w:rsid w:val="001C7AFD"/>
    <w:rsid w:val="001D3BE2"/>
    <w:rsid w:val="001D77E0"/>
    <w:rsid w:val="001E2BC7"/>
    <w:rsid w:val="002104E2"/>
    <w:rsid w:val="00213355"/>
    <w:rsid w:val="00226F18"/>
    <w:rsid w:val="002309F7"/>
    <w:rsid w:val="00244A82"/>
    <w:rsid w:val="002765DE"/>
    <w:rsid w:val="00294B9D"/>
    <w:rsid w:val="002A5884"/>
    <w:rsid w:val="002A6CBE"/>
    <w:rsid w:val="002E1B46"/>
    <w:rsid w:val="00300D6B"/>
    <w:rsid w:val="00305D59"/>
    <w:rsid w:val="00305E8C"/>
    <w:rsid w:val="00315717"/>
    <w:rsid w:val="0033588D"/>
    <w:rsid w:val="003937D9"/>
    <w:rsid w:val="003963A9"/>
    <w:rsid w:val="003A621E"/>
    <w:rsid w:val="003B1D04"/>
    <w:rsid w:val="003D7BDA"/>
    <w:rsid w:val="0042373C"/>
    <w:rsid w:val="00423CCC"/>
    <w:rsid w:val="00426FF1"/>
    <w:rsid w:val="004541CB"/>
    <w:rsid w:val="00465BB2"/>
    <w:rsid w:val="00467112"/>
    <w:rsid w:val="00474C1E"/>
    <w:rsid w:val="00477DED"/>
    <w:rsid w:val="004A2C3D"/>
    <w:rsid w:val="004B4D16"/>
    <w:rsid w:val="004C3101"/>
    <w:rsid w:val="004E0959"/>
    <w:rsid w:val="004F7D52"/>
    <w:rsid w:val="00514483"/>
    <w:rsid w:val="00514EAA"/>
    <w:rsid w:val="00522B6D"/>
    <w:rsid w:val="0056121F"/>
    <w:rsid w:val="00585DFF"/>
    <w:rsid w:val="005B37A9"/>
    <w:rsid w:val="005B4C15"/>
    <w:rsid w:val="005E0E43"/>
    <w:rsid w:val="00622792"/>
    <w:rsid w:val="00623354"/>
    <w:rsid w:val="00623BC7"/>
    <w:rsid w:val="00633016"/>
    <w:rsid w:val="00686BD0"/>
    <w:rsid w:val="00690957"/>
    <w:rsid w:val="006A6648"/>
    <w:rsid w:val="006D2BCB"/>
    <w:rsid w:val="006E023C"/>
    <w:rsid w:val="006E4B0F"/>
    <w:rsid w:val="006F43B8"/>
    <w:rsid w:val="00705007"/>
    <w:rsid w:val="00705CEE"/>
    <w:rsid w:val="007136E3"/>
    <w:rsid w:val="00735F6F"/>
    <w:rsid w:val="00772D6D"/>
    <w:rsid w:val="007903D8"/>
    <w:rsid w:val="007B7085"/>
    <w:rsid w:val="007C0119"/>
    <w:rsid w:val="008030F3"/>
    <w:rsid w:val="00817F8C"/>
    <w:rsid w:val="00856E0D"/>
    <w:rsid w:val="00860895"/>
    <w:rsid w:val="00867AD8"/>
    <w:rsid w:val="0087308A"/>
    <w:rsid w:val="008B4196"/>
    <w:rsid w:val="008C200F"/>
    <w:rsid w:val="008D40B4"/>
    <w:rsid w:val="008D637D"/>
    <w:rsid w:val="008E4ACD"/>
    <w:rsid w:val="008F751B"/>
    <w:rsid w:val="009255BA"/>
    <w:rsid w:val="00940E99"/>
    <w:rsid w:val="00954CE1"/>
    <w:rsid w:val="00986040"/>
    <w:rsid w:val="009904FB"/>
    <w:rsid w:val="00991F73"/>
    <w:rsid w:val="009C5048"/>
    <w:rsid w:val="009C636E"/>
    <w:rsid w:val="009D142F"/>
    <w:rsid w:val="009D5C01"/>
    <w:rsid w:val="00A3059F"/>
    <w:rsid w:val="00A3371D"/>
    <w:rsid w:val="00A35DFC"/>
    <w:rsid w:val="00A5363C"/>
    <w:rsid w:val="00A72563"/>
    <w:rsid w:val="00AA7A5A"/>
    <w:rsid w:val="00AC0F4D"/>
    <w:rsid w:val="00AC1F94"/>
    <w:rsid w:val="00B02719"/>
    <w:rsid w:val="00B21621"/>
    <w:rsid w:val="00B25EB1"/>
    <w:rsid w:val="00B411B5"/>
    <w:rsid w:val="00B558D1"/>
    <w:rsid w:val="00B66776"/>
    <w:rsid w:val="00B80F96"/>
    <w:rsid w:val="00B83BCB"/>
    <w:rsid w:val="00B93327"/>
    <w:rsid w:val="00BA5A52"/>
    <w:rsid w:val="00BB029C"/>
    <w:rsid w:val="00BB68C1"/>
    <w:rsid w:val="00BB7011"/>
    <w:rsid w:val="00BB7116"/>
    <w:rsid w:val="00BD5AE1"/>
    <w:rsid w:val="00BD620C"/>
    <w:rsid w:val="00BD63FB"/>
    <w:rsid w:val="00BE2F63"/>
    <w:rsid w:val="00C2587A"/>
    <w:rsid w:val="00C3623E"/>
    <w:rsid w:val="00C81818"/>
    <w:rsid w:val="00C94334"/>
    <w:rsid w:val="00C97E6E"/>
    <w:rsid w:val="00CA3490"/>
    <w:rsid w:val="00CA56CB"/>
    <w:rsid w:val="00CB3F56"/>
    <w:rsid w:val="00CC3E8A"/>
    <w:rsid w:val="00CC63EF"/>
    <w:rsid w:val="00CE2FCB"/>
    <w:rsid w:val="00D022A5"/>
    <w:rsid w:val="00D023A1"/>
    <w:rsid w:val="00D31E5B"/>
    <w:rsid w:val="00D61EE7"/>
    <w:rsid w:val="00D66CEA"/>
    <w:rsid w:val="00D731B3"/>
    <w:rsid w:val="00D860D1"/>
    <w:rsid w:val="00D86C5D"/>
    <w:rsid w:val="00DA2BF3"/>
    <w:rsid w:val="00DB6177"/>
    <w:rsid w:val="00DC1E3A"/>
    <w:rsid w:val="00DD73B1"/>
    <w:rsid w:val="00DF654A"/>
    <w:rsid w:val="00E0150D"/>
    <w:rsid w:val="00E2792B"/>
    <w:rsid w:val="00E3734F"/>
    <w:rsid w:val="00E60C13"/>
    <w:rsid w:val="00E94E3F"/>
    <w:rsid w:val="00E95F0E"/>
    <w:rsid w:val="00E96E77"/>
    <w:rsid w:val="00E9750E"/>
    <w:rsid w:val="00EA4F07"/>
    <w:rsid w:val="00EB4A3C"/>
    <w:rsid w:val="00EB7170"/>
    <w:rsid w:val="00ED14B3"/>
    <w:rsid w:val="00ED4A8E"/>
    <w:rsid w:val="00ED7212"/>
    <w:rsid w:val="00EF0571"/>
    <w:rsid w:val="00EF07F3"/>
    <w:rsid w:val="00EF2331"/>
    <w:rsid w:val="00EF3887"/>
    <w:rsid w:val="00F00C19"/>
    <w:rsid w:val="00F11818"/>
    <w:rsid w:val="00F555F9"/>
    <w:rsid w:val="00F56054"/>
    <w:rsid w:val="00F70C39"/>
    <w:rsid w:val="00F83D2B"/>
    <w:rsid w:val="00FA1FE9"/>
    <w:rsid w:val="00FD4C04"/>
    <w:rsid w:val="00FE4C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Ttulo1">
    <w:name w:val="heading 1"/>
    <w:basedOn w:val="Normal"/>
    <w:next w:val="Ttulo2"/>
    <w:qFormat/>
    <w:pPr>
      <w:keepNext/>
      <w:spacing w:after="1072" w:line="360" w:lineRule="exact"/>
      <w:outlineLvl w:val="0"/>
    </w:pPr>
    <w:rPr>
      <w:b/>
      <w:caps/>
      <w:kern w:val="28"/>
      <w:sz w:val="28"/>
    </w:rPr>
  </w:style>
  <w:style w:type="paragraph" w:styleId="Ttulo2">
    <w:name w:val="heading 2"/>
    <w:basedOn w:val="Normal"/>
    <w:next w:val="Normal"/>
    <w:qFormat/>
    <w:pPr>
      <w:keepNext/>
      <w:widowControl w:val="0"/>
      <w:spacing w:after="1072" w:line="360" w:lineRule="exact"/>
      <w:jc w:val="center"/>
      <w:outlineLvl w:val="1"/>
    </w:pPr>
    <w:rPr>
      <w:b/>
      <w:snapToGrid w:val="0"/>
      <w:color w:val="000000"/>
      <w:sz w:val="28"/>
    </w:rPr>
  </w:style>
  <w:style w:type="paragraph" w:styleId="Ttulo3">
    <w:name w:val="heading 3"/>
    <w:basedOn w:val="Normal"/>
    <w:next w:val="Normal"/>
    <w:qFormat/>
    <w:pPr>
      <w:keepNext/>
      <w:spacing w:before="1072" w:after="714" w:line="360" w:lineRule="exact"/>
      <w:outlineLvl w:val="2"/>
    </w:pPr>
    <w:rPr>
      <w:b/>
      <w:snapToGrid w:val="0"/>
      <w:sz w:val="28"/>
    </w:rPr>
  </w:style>
  <w:style w:type="paragraph" w:styleId="Ttulo4">
    <w:name w:val="heading 4"/>
    <w:basedOn w:val="Normal"/>
    <w:next w:val="Normal"/>
    <w:qFormat/>
    <w:pPr>
      <w:keepNext/>
      <w:jc w:val="center"/>
      <w:outlineLvl w:val="3"/>
    </w:pPr>
    <w:rPr>
      <w:sz w:val="24"/>
    </w:rPr>
  </w:style>
  <w:style w:type="paragraph" w:styleId="Ttulo6">
    <w:name w:val="heading 6"/>
    <w:basedOn w:val="Normal"/>
    <w:next w:val="Normal"/>
    <w:qFormat/>
    <w:pPr>
      <w:keepNext/>
      <w:ind w:firstLine="2302"/>
      <w:jc w:val="center"/>
      <w:outlineLvl w:val="5"/>
    </w:pPr>
    <w:rPr>
      <w:snapToGrid w:val="0"/>
      <w:sz w:val="24"/>
    </w:rPr>
  </w:style>
  <w:style w:type="paragraph" w:styleId="Ttulo7">
    <w:name w:val="heading 7"/>
    <w:basedOn w:val="Normal"/>
    <w:next w:val="Normal"/>
    <w:qFormat/>
    <w:pPr>
      <w:keepNext/>
      <w:widowControl w:val="0"/>
      <w:numPr>
        <w:numId w:val="3"/>
      </w:numPr>
      <w:spacing w:after="240"/>
      <w:ind w:left="714" w:hanging="357"/>
      <w:jc w:val="center"/>
      <w:outlineLvl w:val="6"/>
    </w:pPr>
    <w:rPr>
      <w:rFonts w:ascii="Times New Roman" w:hAnsi="Times New Roman"/>
      <w:b/>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customStyle="1" w:styleId="texto1">
    <w:name w:val="texto1"/>
    <w:basedOn w:val="Normal"/>
    <w:pPr>
      <w:suppressAutoHyphens/>
      <w:spacing w:line="360" w:lineRule="auto"/>
      <w:ind w:firstLine="1418"/>
      <w:jc w:val="both"/>
    </w:pPr>
    <w:rPr>
      <w:rFonts w:ascii="Courier New" w:hAnsi="Courier New"/>
      <w:b/>
      <w:snapToGrid w:val="0"/>
      <w:sz w:val="24"/>
    </w:rPr>
  </w:style>
  <w:style w:type="paragraph" w:styleId="Recuodecorpodetexto">
    <w:name w:val="Body Text Indent"/>
    <w:basedOn w:val="Normal"/>
    <w:semiHidden/>
    <w:pPr>
      <w:spacing w:after="120"/>
      <w:ind w:left="283"/>
    </w:pPr>
  </w:style>
  <w:style w:type="paragraph" w:customStyle="1" w:styleId="TranscrioDoutrina">
    <w:name w:val="Transcrição Doutrina"/>
    <w:basedOn w:val="Normal"/>
    <w:pPr>
      <w:keepLines/>
      <w:spacing w:after="100" w:line="280" w:lineRule="exact"/>
      <w:ind w:left="2302" w:firstLine="567"/>
      <w:jc w:val="both"/>
    </w:pPr>
    <w:rPr>
      <w:i/>
      <w:snapToGrid w:val="0"/>
      <w:color w:val="000000"/>
      <w:sz w:val="24"/>
    </w:rPr>
  </w:style>
  <w:style w:type="paragraph" w:customStyle="1" w:styleId="Artigo">
    <w:name w:val="Artigo"/>
    <w:basedOn w:val="Normal"/>
    <w:pPr>
      <w:widowControl w:val="0"/>
      <w:numPr>
        <w:numId w:val="1"/>
      </w:numPr>
      <w:tabs>
        <w:tab w:val="clear" w:pos="1440"/>
      </w:tabs>
      <w:spacing w:line="360" w:lineRule="exact"/>
      <w:ind w:firstLine="1908"/>
      <w:jc w:val="both"/>
    </w:pPr>
    <w:rPr>
      <w:snapToGrid w:val="0"/>
      <w:color w:val="000000"/>
      <w:sz w:val="24"/>
    </w:rPr>
  </w:style>
  <w:style w:type="paragraph" w:customStyle="1" w:styleId="Corpo">
    <w:name w:val="Corpo"/>
    <w:basedOn w:val="Normal"/>
    <w:next w:val="Artigo"/>
    <w:pPr>
      <w:widowControl w:val="0"/>
      <w:spacing w:after="714" w:line="360" w:lineRule="exact"/>
      <w:ind w:firstLine="2302"/>
      <w:jc w:val="both"/>
    </w:pPr>
    <w:rPr>
      <w:snapToGrid w:val="0"/>
      <w:color w:val="000000"/>
      <w:sz w:val="24"/>
    </w:rPr>
  </w:style>
  <w:style w:type="paragraph" w:customStyle="1" w:styleId="CorpoPadro">
    <w:name w:val="Corpo Padrão"/>
    <w:basedOn w:val="Normal"/>
    <w:pPr>
      <w:spacing w:after="200" w:line="360" w:lineRule="exact"/>
      <w:ind w:firstLine="2302"/>
      <w:jc w:val="both"/>
    </w:pPr>
    <w:rPr>
      <w:snapToGrid w:val="0"/>
      <w:color w:val="000000"/>
      <w:sz w:val="24"/>
    </w:rPr>
  </w:style>
  <w:style w:type="paragraph" w:customStyle="1" w:styleId="data">
    <w:name w:val="data"/>
    <w:basedOn w:val="Normal"/>
    <w:pPr>
      <w:keepNext/>
      <w:widowControl w:val="0"/>
      <w:spacing w:before="514" w:after="1072" w:line="360" w:lineRule="exact"/>
      <w:ind w:firstLine="2302"/>
      <w:jc w:val="both"/>
    </w:pPr>
    <w:rPr>
      <w:snapToGrid w:val="0"/>
      <w:color w:val="000000"/>
      <w:sz w:val="24"/>
    </w:rPr>
  </w:style>
  <w:style w:type="paragraph" w:customStyle="1" w:styleId="Ementa">
    <w:name w:val="Ementa"/>
    <w:basedOn w:val="Normal"/>
    <w:pPr>
      <w:widowControl w:val="0"/>
      <w:spacing w:before="1072" w:after="357" w:line="240" w:lineRule="exact"/>
      <w:ind w:left="3742" w:firstLine="720"/>
      <w:jc w:val="both"/>
    </w:pPr>
    <w:rPr>
      <w:snapToGrid w:val="0"/>
      <w:color w:val="000000"/>
      <w:sz w:val="24"/>
    </w:rPr>
  </w:style>
  <w:style w:type="paragraph" w:customStyle="1" w:styleId="titulo4">
    <w:name w:val="titulo4"/>
    <w:basedOn w:val="Ttulo2"/>
    <w:autoRedefine/>
    <w:pPr>
      <w:widowControl/>
      <w:spacing w:before="720" w:after="480"/>
      <w:jc w:val="left"/>
    </w:pPr>
    <w:rPr>
      <w:caps/>
    </w:rPr>
  </w:style>
  <w:style w:type="paragraph" w:customStyle="1" w:styleId="Pargrafo">
    <w:name w:val="Parágrafo"/>
    <w:basedOn w:val="Normal"/>
    <w:pPr>
      <w:keepLines/>
      <w:spacing w:after="120" w:line="264" w:lineRule="auto"/>
      <w:ind w:firstLine="1985"/>
      <w:jc w:val="both"/>
    </w:pPr>
    <w:rPr>
      <w:sz w:val="24"/>
    </w:rPr>
  </w:style>
  <w:style w:type="paragraph" w:customStyle="1" w:styleId="Formatado">
    <w:name w:val="Formatado"/>
    <w:basedOn w:val="Normal"/>
    <w:pPr>
      <w:keepLines/>
      <w:spacing w:after="60"/>
      <w:jc w:val="both"/>
    </w:pPr>
    <w:rPr>
      <w:sz w:val="24"/>
    </w:rPr>
  </w:style>
  <w:style w:type="paragraph" w:customStyle="1" w:styleId="TranscrioLei">
    <w:name w:val="Transcrição Lei"/>
    <w:basedOn w:val="Normal"/>
    <w:pPr>
      <w:keepLines/>
      <w:spacing w:after="100" w:line="280" w:lineRule="exact"/>
      <w:ind w:left="2302"/>
      <w:jc w:val="both"/>
    </w:pPr>
    <w:rPr>
      <w:noProof/>
      <w:snapToGrid w:val="0"/>
      <w:color w:val="000000"/>
      <w:sz w:val="24"/>
    </w:rPr>
  </w:style>
  <w:style w:type="character" w:customStyle="1" w:styleId="Hiperlink">
    <w:name w:val="Hiperlink"/>
    <w:rPr>
      <w:color w:val="0000FF"/>
      <w:u w:val="single"/>
    </w:rPr>
  </w:style>
  <w:style w:type="paragraph" w:styleId="Recuodecorpodetexto2">
    <w:name w:val="Body Text Indent 2"/>
    <w:basedOn w:val="Normal"/>
    <w:semiHidden/>
    <w:pPr>
      <w:spacing w:after="120" w:line="360" w:lineRule="exact"/>
      <w:ind w:firstLine="2325"/>
      <w:jc w:val="both"/>
    </w:pPr>
    <w:rPr>
      <w:sz w:val="24"/>
    </w:rPr>
  </w:style>
  <w:style w:type="paragraph" w:customStyle="1" w:styleId="Texto">
    <w:name w:val="Texto"/>
    <w:basedOn w:val="Normal"/>
    <w:pPr>
      <w:keepLines/>
      <w:spacing w:after="120"/>
      <w:ind w:firstLine="1418"/>
      <w:jc w:val="both"/>
    </w:pPr>
    <w:rPr>
      <w:sz w:val="24"/>
    </w:rPr>
  </w:style>
  <w:style w:type="paragraph" w:customStyle="1" w:styleId="Blockquote">
    <w:name w:val="Blockquote"/>
    <w:basedOn w:val="Normal"/>
    <w:pPr>
      <w:spacing w:before="100" w:after="100"/>
      <w:ind w:left="360" w:right="360"/>
    </w:pPr>
    <w:rPr>
      <w:rFonts w:ascii="Times New Roman" w:hAnsi="Times New Roman"/>
      <w:snapToGrid w:val="0"/>
      <w:sz w:val="24"/>
    </w:rPr>
  </w:style>
  <w:style w:type="paragraph" w:styleId="NormalWeb">
    <w:name w:val="Normal (Web)"/>
    <w:basedOn w:val="Normal"/>
    <w:pPr>
      <w:spacing w:before="100" w:after="100"/>
    </w:pPr>
    <w:rPr>
      <w:rFonts w:ascii="Times New Roman" w:hAnsi="Times New Roman"/>
      <w:sz w:val="24"/>
    </w:rPr>
  </w:style>
  <w:style w:type="paragraph" w:styleId="Corpodetexto">
    <w:name w:val="Body Text"/>
    <w:basedOn w:val="Normal"/>
    <w:semiHidden/>
    <w:pPr>
      <w:widowControl w:val="0"/>
    </w:pPr>
    <w:rPr>
      <w:rFonts w:ascii="CG Times" w:hAnsi="CG Times"/>
      <w:snapToGrid w:val="0"/>
      <w:color w:val="000000"/>
      <w:sz w:val="24"/>
    </w:rPr>
  </w:style>
  <w:style w:type="character" w:styleId="Forte">
    <w:name w:val="Strong"/>
    <w:qFormat/>
    <w:rPr>
      <w:b/>
    </w:rPr>
  </w:style>
  <w:style w:type="paragraph" w:styleId="Corpodetexto2">
    <w:name w:val="Body Text 2"/>
    <w:basedOn w:val="Normal"/>
    <w:semiHidden/>
    <w:pPr>
      <w:jc w:val="both"/>
    </w:pPr>
  </w:style>
  <w:style w:type="paragraph" w:customStyle="1" w:styleId="DATA0">
    <w:name w:val="DATA"/>
    <w:basedOn w:val="Normal"/>
    <w:pPr>
      <w:keepNext/>
      <w:widowControl w:val="0"/>
      <w:spacing w:before="554" w:after="1072" w:line="360" w:lineRule="exact"/>
      <w:ind w:firstLine="2302"/>
      <w:jc w:val="both"/>
    </w:pPr>
    <w:rPr>
      <w:snapToGrid w:val="0"/>
      <w:color w:val="000000"/>
      <w:sz w:val="24"/>
    </w:rPr>
  </w:style>
  <w:style w:type="paragraph" w:customStyle="1" w:styleId="item">
    <w:name w:val="item"/>
    <w:basedOn w:val="Ttulo2"/>
    <w:pPr>
      <w:pBdr>
        <w:bottom w:val="single" w:sz="4" w:space="1" w:color="auto"/>
      </w:pBdr>
      <w:spacing w:before="240" w:after="240"/>
      <w:jc w:val="left"/>
    </w:pPr>
    <w:rPr>
      <w:rFonts w:ascii="Garamond" w:hAnsi="Garamond"/>
      <w:caps/>
      <w:sz w:val="24"/>
    </w:rPr>
  </w:style>
  <w:style w:type="paragraph" w:styleId="Ttulo">
    <w:name w:val="Title"/>
    <w:basedOn w:val="Normal"/>
    <w:qFormat/>
    <w:pPr>
      <w:autoSpaceDE w:val="0"/>
      <w:autoSpaceDN w:val="0"/>
      <w:adjustRightInd w:val="0"/>
      <w:jc w:val="center"/>
    </w:pPr>
    <w:rPr>
      <w:rFonts w:cs="Arial"/>
      <w:b/>
      <w:bCs/>
      <w:sz w:val="23"/>
      <w:szCs w:val="23"/>
    </w:rPr>
  </w:style>
  <w:style w:type="paragraph" w:styleId="Recuodecorpodetexto3">
    <w:name w:val="Body Text Indent 3"/>
    <w:basedOn w:val="Normal"/>
    <w:semiHidden/>
    <w:pPr>
      <w:autoSpaceDE w:val="0"/>
      <w:autoSpaceDN w:val="0"/>
      <w:adjustRightInd w:val="0"/>
      <w:ind w:left="1440"/>
      <w:jc w:val="both"/>
    </w:pPr>
    <w:rPr>
      <w:sz w:val="24"/>
    </w:rPr>
  </w:style>
  <w:style w:type="paragraph" w:customStyle="1" w:styleId="Default">
    <w:name w:val="Default"/>
    <w:rsid w:val="00054979"/>
    <w:pPr>
      <w:autoSpaceDE w:val="0"/>
      <w:autoSpaceDN w:val="0"/>
      <w:adjustRightInd w:val="0"/>
    </w:pPr>
    <w:rPr>
      <w:color w:val="000000"/>
      <w:sz w:val="24"/>
      <w:szCs w:val="24"/>
    </w:rPr>
  </w:style>
  <w:style w:type="paragraph" w:styleId="PargrafodaLista">
    <w:name w:val="List Paragraph"/>
    <w:basedOn w:val="Normal"/>
    <w:qFormat/>
    <w:pPr>
      <w:ind w:left="708"/>
    </w:pPr>
  </w:style>
  <w:style w:type="paragraph" w:styleId="Textodebalo">
    <w:name w:val="Balloon Text"/>
    <w:basedOn w:val="Normal"/>
    <w:semiHidden/>
    <w:unhideWhenUsed/>
    <w:rPr>
      <w:rFonts w:ascii="Tahoma" w:hAnsi="Tahoma" w:cs="Tahoma"/>
      <w:sz w:val="16"/>
      <w:szCs w:val="16"/>
    </w:rPr>
  </w:style>
  <w:style w:type="character" w:customStyle="1" w:styleId="TextodebaloChar">
    <w:name w:val="Texto de balão Char"/>
    <w:semiHidden/>
    <w:rPr>
      <w:rFonts w:ascii="Tahoma" w:hAnsi="Tahoma" w:cs="Tahoma"/>
      <w:sz w:val="16"/>
      <w:szCs w:val="16"/>
    </w:rPr>
  </w:style>
  <w:style w:type="character" w:customStyle="1" w:styleId="Ttulo7Char">
    <w:name w:val="Título 7 Char"/>
    <w:rPr>
      <w:b/>
      <w:sz w:val="24"/>
    </w:rPr>
  </w:style>
  <w:style w:type="paragraph" w:customStyle="1" w:styleId="Ttulo2Subttulo1">
    <w:name w:val="Título 2.Subtítulo1"/>
    <w:basedOn w:val="Normal"/>
    <w:next w:val="Normal"/>
    <w:pPr>
      <w:keepNext/>
      <w:widowControl w:val="0"/>
      <w:spacing w:after="1072" w:line="360" w:lineRule="exact"/>
      <w:ind w:firstLine="1134"/>
      <w:jc w:val="center"/>
      <w:outlineLvl w:val="1"/>
    </w:pPr>
    <w:rPr>
      <w:b/>
      <w:snapToGrid w:val="0"/>
      <w:color w:val="000000"/>
      <w:sz w:val="28"/>
    </w:rPr>
  </w:style>
  <w:style w:type="paragraph" w:customStyle="1" w:styleId="CORPOPADRO0">
    <w:name w:val="CORPO PADRÃO"/>
    <w:basedOn w:val="Normal"/>
    <w:pPr>
      <w:spacing w:after="200" w:line="360" w:lineRule="exact"/>
      <w:ind w:firstLine="2302"/>
      <w:jc w:val="both"/>
    </w:pPr>
    <w:rPr>
      <w:snapToGrid w:val="0"/>
      <w:color w:val="000000"/>
      <w:sz w:val="24"/>
    </w:rPr>
  </w:style>
  <w:style w:type="paragraph" w:customStyle="1" w:styleId="corpopadro1">
    <w:name w:val="corpo padrão"/>
    <w:basedOn w:val="Recuodecorpodetexto"/>
    <w:pPr>
      <w:widowControl w:val="0"/>
      <w:spacing w:line="360" w:lineRule="exact"/>
      <w:ind w:left="0" w:firstLine="2268"/>
      <w:jc w:val="both"/>
    </w:pPr>
    <w:rPr>
      <w:rFonts w:ascii="Garamond" w:hAnsi="Garamond"/>
      <w:snapToGrid w:val="0"/>
      <w:color w:val="000000"/>
      <w:sz w:val="24"/>
    </w:rPr>
  </w:style>
  <w:style w:type="character" w:styleId="Refdenotaderodap">
    <w:name w:val="footnote reference"/>
    <w:semiHidden/>
    <w:rPr>
      <w:vertAlign w:val="superscript"/>
    </w:rPr>
  </w:style>
  <w:style w:type="paragraph" w:styleId="Textodenotaderodap">
    <w:name w:val="footnote text"/>
    <w:basedOn w:val="Normal"/>
    <w:semiHidden/>
    <w:pPr>
      <w:jc w:val="both"/>
    </w:pPr>
    <w:rPr>
      <w:rFonts w:ascii="Garamond" w:hAnsi="Garamond"/>
    </w:rPr>
  </w:style>
  <w:style w:type="character" w:customStyle="1" w:styleId="TextodenotaderodapChar">
    <w:name w:val="Texto de nota de rodapé Char"/>
    <w:semiHidden/>
    <w:rPr>
      <w:rFonts w:ascii="Garamond" w:hAnsi="Garamond"/>
    </w:rPr>
  </w:style>
  <w:style w:type="character" w:customStyle="1" w:styleId="CorpodetextoChar">
    <w:name w:val="Corpo de texto Char"/>
    <w:rPr>
      <w:rFonts w:ascii="CG Times" w:hAnsi="CG Times"/>
      <w:snapToGrid/>
      <w:color w:val="000000"/>
      <w:sz w:val="24"/>
    </w:rPr>
  </w:style>
  <w:style w:type="character" w:customStyle="1" w:styleId="textojustificado">
    <w:name w:val="textojustificado"/>
  </w:style>
  <w:style w:type="character" w:styleId="Hyperlink">
    <w:name w:val="Hyperlink"/>
    <w:semiHidden/>
    <w:unhideWhenUsed/>
    <w:rPr>
      <w:color w:val="0000FF"/>
      <w:u w:val="single"/>
    </w:rPr>
  </w:style>
  <w:style w:type="character" w:customStyle="1" w:styleId="Ttulo1Char">
    <w:name w:val="Título 1 Char"/>
    <w:rPr>
      <w:rFonts w:ascii="Arial" w:hAnsi="Arial"/>
      <w:b/>
      <w:caps/>
      <w:kern w:val="28"/>
      <w:sz w:val="28"/>
    </w:rPr>
  </w:style>
  <w:style w:type="character" w:customStyle="1" w:styleId="Ttulo4Char">
    <w:name w:val="Título 4 Char"/>
    <w:rPr>
      <w:rFonts w:ascii="Arial" w:hAnsi="Arial"/>
      <w:sz w:val="24"/>
    </w:rPr>
  </w:style>
  <w:style w:type="character" w:customStyle="1" w:styleId="RodapChar">
    <w:name w:val="Rodapé Char"/>
    <w:rPr>
      <w:rFonts w:ascii="Arial" w:hAnsi="Arial"/>
    </w:rPr>
  </w:style>
  <w:style w:type="paragraph" w:styleId="Sumrio1">
    <w:name w:val="toc 1"/>
    <w:basedOn w:val="Normal"/>
    <w:next w:val="Normal"/>
    <w:autoRedefine/>
    <w:uiPriority w:val="39"/>
    <w:rsid w:val="002A6CBE"/>
    <w:rPr>
      <w:rFonts w:ascii="Times New Roman" w:hAnsi="Times New Roman"/>
    </w:rPr>
  </w:style>
  <w:style w:type="paragraph" w:customStyle="1" w:styleId="Normal1">
    <w:name w:val="Normal+1"/>
    <w:basedOn w:val="Default"/>
    <w:next w:val="Default"/>
    <w:uiPriority w:val="99"/>
    <w:rsid w:val="00305D59"/>
    <w:rPr>
      <w:color w:val="auto"/>
    </w:rPr>
  </w:style>
</w:styles>
</file>

<file path=word/webSettings.xml><?xml version="1.0" encoding="utf-8"?>
<w:webSettings xmlns:r="http://schemas.openxmlformats.org/officeDocument/2006/relationships" xmlns:w="http://schemas.openxmlformats.org/wordprocessingml/2006/main">
  <w:divs>
    <w:div w:id="286932119">
      <w:bodyDiv w:val="1"/>
      <w:marLeft w:val="0"/>
      <w:marRight w:val="0"/>
      <w:marTop w:val="0"/>
      <w:marBottom w:val="0"/>
      <w:divBdr>
        <w:top w:val="none" w:sz="0" w:space="0" w:color="auto"/>
        <w:left w:val="none" w:sz="0" w:space="0" w:color="auto"/>
        <w:bottom w:val="none" w:sz="0" w:space="0" w:color="auto"/>
        <w:right w:val="none" w:sz="0" w:space="0" w:color="auto"/>
      </w:divBdr>
    </w:div>
    <w:div w:id="2030637815">
      <w:bodyDiv w:val="1"/>
      <w:marLeft w:val="0"/>
      <w:marRight w:val="0"/>
      <w:marTop w:val="0"/>
      <w:marBottom w:val="0"/>
      <w:divBdr>
        <w:top w:val="none" w:sz="0" w:space="0" w:color="auto"/>
        <w:left w:val="none" w:sz="0" w:space="0" w:color="auto"/>
        <w:bottom w:val="none" w:sz="0" w:space="0" w:color="auto"/>
        <w:right w:val="none" w:sz="0" w:space="0" w:color="auto"/>
      </w:divBdr>
    </w:div>
    <w:div w:id="20997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225;scaras\Parecer%20a%20Medida%20Provis&#243;ria%20em%20Plen&#225;rio%20com%20PLV.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Parecer a Medida Provisória em Plenário com PLV.dot</Template>
  <TotalTime>1</TotalTime>
  <Pages>10</Pages>
  <Words>2425</Words>
  <Characters>13097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Parecer à MPV 481 de 2010</vt:lpstr>
    </vt:vector>
  </TitlesOfParts>
  <Company>Camara dos Deputados</Company>
  <LinksUpToDate>false</LinksUpToDate>
  <CharactersWithSpaces>15492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à MPV 481 de 2010</dc:title>
  <dc:subject>PMPR - Parecer à Medida Provisória</dc:subject>
  <dc:creator>Deputado Maurício Rands</dc:creator>
  <cp:lastModifiedBy>chayashi</cp:lastModifiedBy>
  <cp:revision>2</cp:revision>
  <cp:lastPrinted>2015-10-07T15:10:00Z</cp:lastPrinted>
  <dcterms:created xsi:type="dcterms:W3CDTF">2015-10-07T17:51:00Z</dcterms:created>
  <dcterms:modified xsi:type="dcterms:W3CDTF">2015-10-07T17:51:00Z</dcterms:modified>
</cp:coreProperties>
</file>