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CB" w:rsidRDefault="00C218D0" w:rsidP="00A85ECB">
      <w:pPr>
        <w:pStyle w:val="02-TtuloPrincipal-CLG"/>
      </w:pPr>
      <w:bookmarkStart w:id="0" w:name="_GoBack"/>
      <w:bookmarkEnd w:id="0"/>
      <w:r>
        <w:rPr>
          <w:caps/>
        </w:rPr>
        <w:t>Parecer</w:t>
      </w:r>
      <w:r w:rsidR="00A85ECB">
        <w:t xml:space="preserve"> Nº       , DE 2015</w:t>
      </w:r>
    </w:p>
    <w:p w:rsidR="00A85ECB" w:rsidRDefault="00C218D0" w:rsidP="00A85ECB">
      <w:pPr>
        <w:pStyle w:val="03-Ementa-CLG"/>
      </w:pPr>
      <w:r>
        <w:t xml:space="preserve">Da COMISSÃO DE DIREITOS HUMANOS E LEGISLAÇÃO PARTICIPATIVA, sobre o Projeto de Lei do Senado (PLS) nº 279, de 2012, do Senador Cyro Miranda, que </w:t>
      </w:r>
      <w:r>
        <w:rPr>
          <w:i/>
        </w:rPr>
        <w:t>altera a Lei nº 8.742, de 7 de dezembro de 1993, Lei Orgânica da Assistência Social, para estabelecer a idade mínima de sessenta anos para fins de recebimento do benefício de prestação continuada</w:t>
      </w:r>
      <w:r>
        <w:t>.</w:t>
      </w:r>
    </w:p>
    <w:p w:rsidR="00A85ECB" w:rsidRDefault="00C218D0" w:rsidP="00A85ECB">
      <w:pPr>
        <w:pStyle w:val="04-Relatoria-CLG"/>
      </w:pPr>
      <w:r>
        <w:t xml:space="preserve">Relatora: Senadora </w:t>
      </w:r>
      <w:r>
        <w:rPr>
          <w:b/>
          <w:caps/>
        </w:rPr>
        <w:t>Maria do Carmo Alves</w:t>
      </w:r>
    </w:p>
    <w:p w:rsidR="00A85ECB" w:rsidRDefault="00A85ECB" w:rsidP="00A85ECB">
      <w:pPr>
        <w:pStyle w:val="05-Subttulo-CLG"/>
      </w:pPr>
      <w:r>
        <w:t>I – RELATÓRIO</w:t>
      </w:r>
    </w:p>
    <w:p w:rsidR="00692AE2" w:rsidRPr="00880DD0" w:rsidRDefault="00692AE2" w:rsidP="00692AE2">
      <w:pPr>
        <w:pStyle w:val="06-Pargrafodetexto-CLG"/>
      </w:pPr>
      <w:r>
        <w:t xml:space="preserve">Retorna à </w:t>
      </w:r>
      <w:r w:rsidRPr="00880DD0">
        <w:t>Comissão de Direitos Humanos e Legislação Participativa (CDH)</w:t>
      </w:r>
      <w:r>
        <w:t xml:space="preserve">, para reexame, em razão da aprovação do Requerimento nº 635, de 2015, </w:t>
      </w:r>
      <w:r w:rsidRPr="00880DD0">
        <w:t xml:space="preserve">o Projeto de Lei do Senado (PLS) nº 279, de 2012, de autoria do Senador Cyro Miranda, que tem por finalidade alterar a Lei Orgânica da Assistência Social (LOAS) </w:t>
      </w:r>
      <w:r w:rsidR="003918A6">
        <w:t>com o objetivo de</w:t>
      </w:r>
      <w:r w:rsidR="003918A6" w:rsidRPr="00880DD0">
        <w:t xml:space="preserve"> </w:t>
      </w:r>
      <w:r>
        <w:t xml:space="preserve">reduzir de sessenta e cinco para sessenta anos a idade mínima para que o idoso </w:t>
      </w:r>
      <w:r w:rsidRPr="00880DD0">
        <w:t>que não tenha condição de prover a própria subsistência, nem de tê-la provida por sua família, possa receber o Benefício de Prestação Continuada (BPC).</w:t>
      </w:r>
    </w:p>
    <w:p w:rsidR="00692AE2" w:rsidRPr="00880DD0" w:rsidRDefault="00692AE2" w:rsidP="00692AE2">
      <w:pPr>
        <w:pStyle w:val="06-Pargrafodetexto-CLG"/>
      </w:pPr>
      <w:r>
        <w:t xml:space="preserve">O </w:t>
      </w:r>
      <w:r w:rsidRPr="00880DD0">
        <w:t xml:space="preserve">autor </w:t>
      </w:r>
      <w:r>
        <w:t xml:space="preserve">justifica </w:t>
      </w:r>
      <w:r w:rsidRPr="00880DD0">
        <w:t>a proposição</w:t>
      </w:r>
      <w:r>
        <w:t xml:space="preserve"> apontando a discrepância entre a</w:t>
      </w:r>
      <w:r w:rsidRPr="00880DD0">
        <w:t xml:space="preserve"> Lei nº 10.741, de 1º de outubro de 2003, conhecida como Estatuto do Idoso, </w:t>
      </w:r>
      <w:r>
        <w:t xml:space="preserve">que </w:t>
      </w:r>
      <w:r w:rsidRPr="00880DD0">
        <w:t>define a pessoa idosa como sendo aquela com mais de sessenta anos</w:t>
      </w:r>
      <w:r>
        <w:t xml:space="preserve">, e a </w:t>
      </w:r>
      <w:r w:rsidR="003918A6">
        <w:t>Loas</w:t>
      </w:r>
      <w:r>
        <w:t>, que prevê o recebimento do BPC, nas condições mencionadas, a partir dos sessenta e cinco anos</w:t>
      </w:r>
      <w:r w:rsidRPr="00880DD0">
        <w:t>. A proposição pretende unificar os critérios expostos nessas duas leis, adotando a idade recomendada pela Organização Mundial da Saúde (OMS) como critério para as políticas voltadas à proteção da velhice. A vigência da proposta, se convertida em lei, será imediata.</w:t>
      </w:r>
    </w:p>
    <w:p w:rsidR="00692AE2" w:rsidRPr="00880DD0" w:rsidRDefault="00692AE2" w:rsidP="00692AE2">
      <w:pPr>
        <w:pStyle w:val="06-Pargrafodetexto-CLG"/>
      </w:pPr>
      <w:r w:rsidRPr="00880DD0">
        <w:lastRenderedPageBreak/>
        <w:t xml:space="preserve">O PLS nº 279, de 2012, foi </w:t>
      </w:r>
      <w:r>
        <w:t xml:space="preserve">inicialmente </w:t>
      </w:r>
      <w:r w:rsidRPr="00880DD0">
        <w:t xml:space="preserve">distribuído à CDH e à Comissão de Assuntos Sociais (CAS), que o </w:t>
      </w:r>
      <w:r>
        <w:t xml:space="preserve">aprovou </w:t>
      </w:r>
      <w:r w:rsidRPr="00880DD0">
        <w:t>em caráter terminativo.</w:t>
      </w:r>
      <w:r>
        <w:t xml:space="preserve"> Após a aprovação do Recurso nº 10, de 2013, a matéria foi submetida ao Plenário. Requerimentos subsequentes determinaram reexame da matéria pela CDH e pela CAS, bem como análise da proposição pela Comissão de Assuntos Econômicos (CAE), que concluiu pela sua rejeição devido ao que percebeu como sendo um desestímulo à contribuição de pessoas de menor renda para a Previdência Social, dada a garantia de recebimento do BPC, e também por identificar risco de diluição do orçamento da assistência social, limitando iniciativas como o Programa Bolsa Família.</w:t>
      </w:r>
    </w:p>
    <w:p w:rsidR="00A85ECB" w:rsidRPr="003311AC" w:rsidRDefault="00692AE2" w:rsidP="00692AE2">
      <w:pPr>
        <w:pStyle w:val="06-Pargrafodetexto-CLG"/>
      </w:pPr>
      <w:r w:rsidRPr="00880DD0">
        <w:t>Não foram recebidas emendas neste colegiado.</w:t>
      </w:r>
    </w:p>
    <w:p w:rsidR="00A85ECB" w:rsidRPr="005523B9" w:rsidRDefault="00A85ECB" w:rsidP="00A85ECB">
      <w:pPr>
        <w:pStyle w:val="05-Subttulo-CLG"/>
      </w:pPr>
      <w:r w:rsidRPr="005523B9">
        <w:t>II – ANÁLISE</w:t>
      </w:r>
    </w:p>
    <w:p w:rsidR="00692AE2" w:rsidRPr="00880DD0" w:rsidRDefault="00692AE2" w:rsidP="00692AE2">
      <w:pPr>
        <w:pStyle w:val="06-Pargrafodetexto-CLG"/>
      </w:pPr>
      <w:r w:rsidRPr="00692AE2">
        <w:t xml:space="preserve"> </w:t>
      </w:r>
      <w:r w:rsidRPr="00880DD0">
        <w:t>Conforme disposto no art. 102-E, inciso VI, do Regimento Interno do Senado Federal, compete à CDH opinar sobre proposições relativas à proteção e à integração social dos idosos.</w:t>
      </w:r>
    </w:p>
    <w:p w:rsidR="00692AE2" w:rsidRDefault="00692AE2" w:rsidP="00692AE2">
      <w:pPr>
        <w:pStyle w:val="06-Pargrafodetexto-CLG"/>
        <w:rPr>
          <w:szCs w:val="28"/>
        </w:rPr>
      </w:pPr>
      <w:r>
        <w:rPr>
          <w:szCs w:val="28"/>
        </w:rPr>
        <w:t>É evidente que temos critérios etários distintos na Loas e no Estatuto do Idoso, para os respectivos fins: atualmente, se alguns direitos já são reconhecidos em favor dos idosos a partir dos sessenta anos, o recebimento do BPC pelos idosos carentes só é legalmente previsto a partir dos sessenta e cinco anos.</w:t>
      </w:r>
    </w:p>
    <w:p w:rsidR="00692AE2" w:rsidRDefault="00692AE2" w:rsidP="00692AE2">
      <w:pPr>
        <w:pStyle w:val="06-Pargrafodetexto-CLG"/>
      </w:pPr>
      <w:r>
        <w:t xml:space="preserve">Há, claramente, mérito na iniciativa de amparar as pessoas carentes, idosas ou não. A ampliação das hipóteses de recebimento do BPC fortalece a cobertura assistencial e ajuda a combater a pobreza, além de proporcionar inclusão econômica </w:t>
      </w:r>
      <w:r w:rsidR="007757A3">
        <w:t>dos idosos, elevando seu padrão de vida e movimentando a economia.</w:t>
      </w:r>
    </w:p>
    <w:p w:rsidR="007757A3" w:rsidRDefault="00692AE2" w:rsidP="00692AE2">
      <w:pPr>
        <w:pStyle w:val="06-Pargrafodetexto-CLG"/>
      </w:pPr>
      <w:r>
        <w:t xml:space="preserve">Não obstante, </w:t>
      </w:r>
      <w:r w:rsidR="007757A3">
        <w:t xml:space="preserve">é forçoso reconhecer que, como se mencionou no Parecer da CAE, a ampliação dessa política assistencial, na forma sugerida, teria impacto sobre a Previdência, desestimulando a contribuição de quem tenha perspectiva de receber o BPC sem qualquer contrapartida. Dada a necessidade de garantir a sustentabilidade do sistema previdenciário, seria temerário promover essa alteração. </w:t>
      </w:r>
      <w:r w:rsidR="00D80AEC">
        <w:t>Tanto a assistência quanto a previdência integram a seguridade social e devemos zelar pelo equilíbrio nesse sistema.</w:t>
      </w:r>
    </w:p>
    <w:p w:rsidR="00657057" w:rsidRDefault="007757A3" w:rsidP="00692AE2">
      <w:pPr>
        <w:pStyle w:val="06-Pargrafodetexto-CLG"/>
      </w:pPr>
      <w:r>
        <w:lastRenderedPageBreak/>
        <w:t xml:space="preserve">O atual cenário de restrição orçamentária também deve ser considerado, sendo recomendável optar pela concentração das despesas públicas, inclusive as de caráter assistencial, nas políticas </w:t>
      </w:r>
      <w:r w:rsidR="00780FE0">
        <w:t xml:space="preserve">mais necessárias. </w:t>
      </w:r>
      <w:r w:rsidR="00657057">
        <w:t>O</w:t>
      </w:r>
      <w:r w:rsidR="00D80AEC">
        <w:t xml:space="preserve">s benefícios do Programa Bolsa Família, ainda que possam ser menores do que o valor do BPC, </w:t>
      </w:r>
      <w:r w:rsidR="00657057">
        <w:t xml:space="preserve">já </w:t>
      </w:r>
      <w:r w:rsidR="00D80AEC">
        <w:t xml:space="preserve">garantem que o idoso com idade entre sessenta e sessenta e cinco anos tenha assistência em situação de pobreza, somada aos direitos previstos no Estatuto do Idoso. </w:t>
      </w:r>
      <w:r w:rsidR="00780FE0">
        <w:t xml:space="preserve">Nesse sentido, a disparidade dos critérios etários do Estatuto do Idoso e da Loas seriam justificáveis </w:t>
      </w:r>
      <w:r w:rsidR="00657057">
        <w:t>por uma visão incremental: o leque de direitos e garantias já previsto no Estatuto do Idoso, desde os sessenta anos, e a concessão do BPC, se necessário, a partir dos sessenta e cinco anos.</w:t>
      </w:r>
    </w:p>
    <w:p w:rsidR="00D95519" w:rsidRDefault="00D95519" w:rsidP="00692AE2">
      <w:pPr>
        <w:pStyle w:val="06-Pargrafodetexto-CLG"/>
      </w:pPr>
      <w:r>
        <w:t>Dessa forma, ainda que seja desejável ampliar ao máximo a rede de proteção social, é forçoso reconhecer que escolhas</w:t>
      </w:r>
      <w:r w:rsidR="00D90263">
        <w:t xml:space="preserve"> responsáveis</w:t>
      </w:r>
      <w:r>
        <w:t xml:space="preserve"> devem ser feitas </w:t>
      </w:r>
      <w:r w:rsidR="00D90263">
        <w:t>na articulação das políticas de seguridade social</w:t>
      </w:r>
      <w:r w:rsidR="006B1AC9">
        <w:t>,</w:t>
      </w:r>
      <w:r w:rsidR="00D90263">
        <w:t xml:space="preserve"> </w:t>
      </w:r>
      <w:r w:rsidR="006B1AC9">
        <w:t xml:space="preserve">empregando-se </w:t>
      </w:r>
      <w:r>
        <w:t>os recursos finitos da assistência social em favor dos que mais necessitam, não estando, absolutamente, desassistidos os idosos com idade entre sessenta e sessenta e cinco anos.</w:t>
      </w:r>
    </w:p>
    <w:p w:rsidR="00A85ECB" w:rsidRDefault="00A85ECB" w:rsidP="00A85ECB">
      <w:pPr>
        <w:pStyle w:val="05-Subttulo-CLG"/>
      </w:pPr>
      <w:r>
        <w:t>III – VOTO</w:t>
      </w:r>
    </w:p>
    <w:p w:rsidR="00A85ECB" w:rsidRPr="00433B79" w:rsidRDefault="00657057" w:rsidP="00A85ECB">
      <w:pPr>
        <w:pStyle w:val="06-Pargrafodetexto-CLG"/>
      </w:pPr>
      <w:r>
        <w:t xml:space="preserve">Em razão do que foi exposto, voto pela </w:t>
      </w:r>
      <w:r w:rsidRPr="00657057">
        <w:rPr>
          <w:b/>
        </w:rPr>
        <w:t>rejeição</w:t>
      </w:r>
      <w:r>
        <w:t xml:space="preserve"> do Projeto de Lei do Senado nº 279, de 2012.</w:t>
      </w:r>
    </w:p>
    <w:p w:rsidR="00A85ECB" w:rsidRDefault="00C218D0" w:rsidP="00A85ECB">
      <w:pPr>
        <w:pStyle w:val="10-Local-CLG"/>
      </w:pPr>
      <w:r>
        <w:t>Sala da Comissão,</w:t>
      </w:r>
    </w:p>
    <w:p w:rsidR="00A85ECB" w:rsidRPr="00724990" w:rsidRDefault="00A85ECB" w:rsidP="00A85ECB">
      <w:pPr>
        <w:pStyle w:val="11-Assinaturas-CLG"/>
      </w:pPr>
      <w:r>
        <w:t>, Presidente</w:t>
      </w:r>
    </w:p>
    <w:p w:rsidR="00A85ECB" w:rsidRDefault="00A85ECB" w:rsidP="00A85ECB">
      <w:pPr>
        <w:pStyle w:val="11-Assinaturas-CLG"/>
      </w:pPr>
      <w:r>
        <w:t>, Relatora</w:t>
      </w:r>
    </w:p>
    <w:sectPr w:rsidR="00A85ECB" w:rsidSect="00A85ECB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FA" w:rsidRDefault="00515AFA" w:rsidP="00A85ECB">
      <w:pPr>
        <w:spacing w:after="0" w:line="240" w:lineRule="auto"/>
      </w:pPr>
      <w:r>
        <w:separator/>
      </w:r>
    </w:p>
  </w:endnote>
  <w:endnote w:type="continuationSeparator" w:id="0">
    <w:p w:rsidR="00515AFA" w:rsidRDefault="00515AFA" w:rsidP="00A8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3" w:rsidRDefault="00D90263">
    <w:pPr>
      <w:pStyle w:val="Rodap"/>
      <w:rPr>
        <w:i/>
        <w:sz w:val="18"/>
      </w:rPr>
    </w:pPr>
    <w:r w:rsidRPr="005C0FDC">
      <w:rPr>
        <w:i/>
        <w:sz w:val="18"/>
        <w:szCs w:val="18"/>
      </w:rPr>
      <w:t>fp2015-07003</w:t>
    </w:r>
    <w:r>
      <w:rPr>
        <w:i/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3" w:rsidRPr="00342E7D" w:rsidRDefault="00D90263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FA" w:rsidRDefault="00515AFA" w:rsidP="00A85ECB">
      <w:pPr>
        <w:spacing w:after="0" w:line="240" w:lineRule="auto"/>
      </w:pPr>
      <w:r>
        <w:separator/>
      </w:r>
    </w:p>
  </w:footnote>
  <w:footnote w:type="continuationSeparator" w:id="0">
    <w:p w:rsidR="00515AFA" w:rsidRDefault="00515AFA" w:rsidP="00A8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3" w:rsidRDefault="00DF1A65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02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0263" w:rsidRDefault="00D90263">
    <w:pPr>
      <w:pStyle w:val="Cabealho"/>
      <w:ind w:right="360"/>
    </w:pPr>
  </w:p>
  <w:p w:rsidR="00D90263" w:rsidRDefault="00D902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3" w:rsidRDefault="00DF1A65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02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2F7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90263" w:rsidRDefault="00D90263">
    <w:pPr>
      <w:pStyle w:val="Cabealho"/>
      <w:ind w:right="360"/>
    </w:pPr>
  </w:p>
  <w:p w:rsidR="00D90263" w:rsidRDefault="00D9026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ECB"/>
    <w:rsid w:val="0003485E"/>
    <w:rsid w:val="00055CBB"/>
    <w:rsid w:val="0007300D"/>
    <w:rsid w:val="001234EB"/>
    <w:rsid w:val="0014058C"/>
    <w:rsid w:val="0019646D"/>
    <w:rsid w:val="001F7438"/>
    <w:rsid w:val="002029DB"/>
    <w:rsid w:val="002F08FB"/>
    <w:rsid w:val="00310456"/>
    <w:rsid w:val="003524D1"/>
    <w:rsid w:val="00385A9D"/>
    <w:rsid w:val="003918A6"/>
    <w:rsid w:val="003B6BA9"/>
    <w:rsid w:val="003C5949"/>
    <w:rsid w:val="003F695A"/>
    <w:rsid w:val="004254A4"/>
    <w:rsid w:val="0048265E"/>
    <w:rsid w:val="004D4188"/>
    <w:rsid w:val="0050661C"/>
    <w:rsid w:val="005079CB"/>
    <w:rsid w:val="00515AFA"/>
    <w:rsid w:val="005427DE"/>
    <w:rsid w:val="0055336D"/>
    <w:rsid w:val="0059291D"/>
    <w:rsid w:val="005C0FDC"/>
    <w:rsid w:val="005F66EF"/>
    <w:rsid w:val="00657057"/>
    <w:rsid w:val="00666B40"/>
    <w:rsid w:val="00692AE2"/>
    <w:rsid w:val="006B1AC9"/>
    <w:rsid w:val="006B2AD4"/>
    <w:rsid w:val="00770497"/>
    <w:rsid w:val="007757A3"/>
    <w:rsid w:val="00780FE0"/>
    <w:rsid w:val="00786E12"/>
    <w:rsid w:val="00796409"/>
    <w:rsid w:val="007F6C25"/>
    <w:rsid w:val="00800E94"/>
    <w:rsid w:val="00806347"/>
    <w:rsid w:val="008707F5"/>
    <w:rsid w:val="008A6381"/>
    <w:rsid w:val="008D22A3"/>
    <w:rsid w:val="00957CF0"/>
    <w:rsid w:val="009B2F78"/>
    <w:rsid w:val="00A070DD"/>
    <w:rsid w:val="00A85ECB"/>
    <w:rsid w:val="00AB52D6"/>
    <w:rsid w:val="00B26EDC"/>
    <w:rsid w:val="00B44A19"/>
    <w:rsid w:val="00B5322A"/>
    <w:rsid w:val="00B57CDF"/>
    <w:rsid w:val="00C218D0"/>
    <w:rsid w:val="00C27503"/>
    <w:rsid w:val="00C54477"/>
    <w:rsid w:val="00CF4AAD"/>
    <w:rsid w:val="00CF703D"/>
    <w:rsid w:val="00D20B94"/>
    <w:rsid w:val="00D80AEC"/>
    <w:rsid w:val="00D90263"/>
    <w:rsid w:val="00D95519"/>
    <w:rsid w:val="00DF1A65"/>
    <w:rsid w:val="00E241F7"/>
    <w:rsid w:val="00EC05B2"/>
    <w:rsid w:val="00ED38EE"/>
    <w:rsid w:val="00F56077"/>
    <w:rsid w:val="00FA009E"/>
    <w:rsid w:val="00FA22FA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A85ECB"/>
  </w:style>
  <w:style w:type="paragraph" w:customStyle="1" w:styleId="01-Minuta-CLG">
    <w:name w:val="01 - Minuta - CLG"/>
    <w:link w:val="01-Minuta-CLGChar"/>
    <w:rsid w:val="00A85ECB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2-TtuloPrincipal-CLG">
    <w:name w:val="02 - Título Principal - CLG"/>
    <w:link w:val="02-TtuloPrincipal-CLGChar"/>
    <w:rsid w:val="00A85ECB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3-Ementa-CLG">
    <w:name w:val="03 - Ementa - CLG"/>
    <w:link w:val="03-Ementa-CLGCharChar"/>
    <w:rsid w:val="00A85ECB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basedOn w:val="Fontepargpadro"/>
    <w:link w:val="03-Ementa-CLG"/>
    <w:rsid w:val="00A85ECB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4-Relatoria-CLG">
    <w:name w:val="04 - Relatoria - CLG"/>
    <w:link w:val="04-Relatoria-CLGChar"/>
    <w:rsid w:val="00A85ECB"/>
    <w:pPr>
      <w:spacing w:after="96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5-Subttulo-CLG">
    <w:name w:val="05 - Subtítulo - CLG"/>
    <w:link w:val="05-Subttulo-CLGChar"/>
    <w:rsid w:val="00A85ECB"/>
    <w:pPr>
      <w:spacing w:after="48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rsid w:val="00A85ECB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1-Minuta-CLGChar">
    <w:name w:val="01 - Minuta - CLG Char"/>
    <w:basedOn w:val="Fontepargpadro"/>
    <w:link w:val="01-Minuta-CLG"/>
    <w:rsid w:val="00A85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0-Local-CLG">
    <w:name w:val="10 - Local - CLG"/>
    <w:link w:val="10-Local-CLGChar"/>
    <w:rsid w:val="00A85ECB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A85ECB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2-TtuloPrincipal-CLGChar">
    <w:name w:val="02 - Título Principal - CLG Char"/>
    <w:basedOn w:val="Fontepargpadro"/>
    <w:link w:val="02-TtuloPrincipal-CLG"/>
    <w:rsid w:val="00A85ECB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4-Relatoria-CLGChar">
    <w:name w:val="04 - Relatoria - CLG Char"/>
    <w:basedOn w:val="Fontepargpadro"/>
    <w:link w:val="04-Relatoria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Subttulo-CLGChar">
    <w:name w:val="05 - Subtítulo - CLG Char"/>
    <w:basedOn w:val="Fontepargpadro"/>
    <w:link w:val="05-Subttulo-CLG"/>
    <w:rsid w:val="00A85EC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rsid w:val="00A85ECB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rsid w:val="00A85ECB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rsid w:val="00A85ECB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CONLEG - Consultoria Legislativa do Senado Federal</dc:creator>
  <cp:lastModifiedBy>segidio</cp:lastModifiedBy>
  <cp:revision>2</cp:revision>
  <cp:lastPrinted>2015-09-17T12:53:00Z</cp:lastPrinted>
  <dcterms:created xsi:type="dcterms:W3CDTF">2015-10-05T15:13:00Z</dcterms:created>
  <dcterms:modified xsi:type="dcterms:W3CDTF">2015-10-05T15:13:00Z</dcterms:modified>
</cp:coreProperties>
</file>