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0" w:rsidRDefault="00990760" w:rsidP="00990760">
      <w:pPr>
        <w:pStyle w:val="02-TtuloPrincipal-CLG"/>
      </w:pPr>
      <w:r>
        <w:t xml:space="preserve">PARECER </w:t>
      </w:r>
      <w:proofErr w:type="gramStart"/>
      <w:r>
        <w:t>Nº       ,</w:t>
      </w:r>
      <w:proofErr w:type="gramEnd"/>
      <w:r>
        <w:t xml:space="preserve"> DE 2015</w:t>
      </w:r>
    </w:p>
    <w:p w:rsidR="00D66231" w:rsidRDefault="00D66231" w:rsidP="00990760">
      <w:pPr>
        <w:pStyle w:val="03-Ementa-CLG"/>
      </w:pPr>
      <w:bookmarkStart w:id="0" w:name="sigla_comissao"/>
      <w:bookmarkStart w:id="1" w:name="nome_comissao"/>
    </w:p>
    <w:p w:rsidR="00990760" w:rsidRDefault="00990760" w:rsidP="00990760">
      <w:pPr>
        <w:pStyle w:val="03-Ementa-CLG"/>
        <w:rPr>
          <w:i/>
        </w:rPr>
      </w:pPr>
      <w:r>
        <w:t>Da COMISSÃO</w:t>
      </w:r>
      <w:bookmarkEnd w:id="0"/>
      <w:r>
        <w:t xml:space="preserve"> </w:t>
      </w:r>
      <w:bookmarkEnd w:id="1"/>
      <w:r>
        <w:t xml:space="preserve">DE CONSTITUIÇÃO, JUSTIÇA E CIDADANIA, sobre o Projeto de Lei do Senado nº 329, de 2014 - Complementar, do Senador Marcelo </w:t>
      </w:r>
      <w:proofErr w:type="spellStart"/>
      <w:r>
        <w:t>Crivella</w:t>
      </w:r>
      <w:proofErr w:type="spellEnd"/>
      <w:r>
        <w:t xml:space="preserve">, que </w:t>
      </w:r>
      <w:r>
        <w:rPr>
          <w:i/>
        </w:rPr>
        <w:t>altera a Lei nº 4.737, de 15 de julho de 1965 (Código Eleitoral), para definir critérios para a composição de órgãos colegiados da Justiça Eleitoral.</w:t>
      </w:r>
    </w:p>
    <w:p w:rsidR="00D66231" w:rsidRPr="004C0F24" w:rsidRDefault="004C0F24" w:rsidP="004C0F24">
      <w:pPr>
        <w:pStyle w:val="SemEspaamento"/>
        <w:rPr>
          <w:rFonts w:ascii="Times New Roman" w:hAnsi="Times New Roman"/>
          <w:b/>
          <w:bCs/>
          <w:sz w:val="28"/>
          <w:szCs w:val="20"/>
        </w:rPr>
      </w:pPr>
      <w:r w:rsidRPr="004C0F24">
        <w:rPr>
          <w:rFonts w:ascii="Times New Roman" w:hAnsi="Times New Roman"/>
          <w:bCs/>
          <w:sz w:val="28"/>
          <w:szCs w:val="20"/>
        </w:rPr>
        <w:t xml:space="preserve">RELATOR </w:t>
      </w:r>
      <w:r w:rsidRPr="004C0F24">
        <w:rPr>
          <w:rFonts w:ascii="Times New Roman" w:hAnsi="Times New Roman"/>
          <w:bCs/>
          <w:i/>
          <w:sz w:val="28"/>
          <w:szCs w:val="20"/>
        </w:rPr>
        <w:t>AD HOC</w:t>
      </w:r>
      <w:r w:rsidRPr="004C0F24">
        <w:rPr>
          <w:rFonts w:ascii="Times New Roman" w:hAnsi="Times New Roman"/>
          <w:bCs/>
          <w:sz w:val="28"/>
          <w:szCs w:val="20"/>
        </w:rPr>
        <w:t>: Senador</w:t>
      </w:r>
      <w:r w:rsidRPr="004C0F24">
        <w:rPr>
          <w:rFonts w:ascii="Times New Roman" w:hAnsi="Times New Roman"/>
          <w:b/>
          <w:bCs/>
          <w:sz w:val="28"/>
          <w:szCs w:val="20"/>
        </w:rPr>
        <w:t xml:space="preserve"> RANDOLFE RODRIGUES</w:t>
      </w:r>
    </w:p>
    <w:p w:rsidR="00990760" w:rsidRDefault="00990760" w:rsidP="004C0F24">
      <w:pPr>
        <w:pStyle w:val="SemEspaamento"/>
        <w:rPr>
          <w:rFonts w:ascii="Times New Roman" w:hAnsi="Times New Roman"/>
          <w:b/>
          <w:bCs/>
          <w:sz w:val="28"/>
          <w:szCs w:val="20"/>
        </w:rPr>
      </w:pPr>
      <w:r w:rsidRPr="004C0F24">
        <w:rPr>
          <w:rFonts w:ascii="Times New Roman" w:hAnsi="Times New Roman"/>
          <w:bCs/>
          <w:sz w:val="28"/>
          <w:szCs w:val="20"/>
        </w:rPr>
        <w:t>RELATOR: Senador</w:t>
      </w:r>
      <w:r w:rsidRPr="004C0F24">
        <w:rPr>
          <w:rFonts w:ascii="Times New Roman" w:hAnsi="Times New Roman"/>
          <w:b/>
          <w:bCs/>
          <w:sz w:val="28"/>
          <w:szCs w:val="20"/>
        </w:rPr>
        <w:t xml:space="preserve"> ROBERTO REQUIÃO</w:t>
      </w:r>
    </w:p>
    <w:p w:rsidR="004C0F24" w:rsidRDefault="004C0F24" w:rsidP="004C0F24">
      <w:pPr>
        <w:pStyle w:val="SemEspaamento"/>
        <w:rPr>
          <w:rFonts w:ascii="Times New Roman" w:hAnsi="Times New Roman"/>
          <w:b/>
          <w:bCs/>
          <w:sz w:val="28"/>
          <w:szCs w:val="20"/>
        </w:rPr>
      </w:pPr>
    </w:p>
    <w:p w:rsidR="004C0F24" w:rsidRPr="004C0F24" w:rsidRDefault="004C0F24" w:rsidP="004C0F24">
      <w:pPr>
        <w:pStyle w:val="SemEspaamento"/>
        <w:rPr>
          <w:rFonts w:ascii="Times New Roman" w:hAnsi="Times New Roman"/>
          <w:b/>
          <w:bCs/>
          <w:sz w:val="28"/>
          <w:szCs w:val="20"/>
        </w:rPr>
      </w:pPr>
    </w:p>
    <w:p w:rsidR="00990760" w:rsidRDefault="00990760" w:rsidP="00990760">
      <w:pPr>
        <w:pStyle w:val="05-Subttulo-CLG"/>
      </w:pPr>
      <w:r>
        <w:t>I – RELATÓRIO</w:t>
      </w:r>
    </w:p>
    <w:p w:rsidR="00990760" w:rsidRDefault="00990760" w:rsidP="00990760">
      <w:pPr>
        <w:pStyle w:val="06-Pargrafodetexto-CLG"/>
      </w:pPr>
      <w:r>
        <w:t xml:space="preserve">Vem ao exame desta Comissão o Projeto de Lei do Senado (PLS) nº 329, de 2014 - Complementar, de autoria do Senador Marcelo </w:t>
      </w:r>
      <w:proofErr w:type="spellStart"/>
      <w:r>
        <w:t>Crivella</w:t>
      </w:r>
      <w:proofErr w:type="spellEnd"/>
      <w:r>
        <w:t>.</w:t>
      </w:r>
    </w:p>
    <w:p w:rsidR="00990760" w:rsidRDefault="00990760" w:rsidP="00990760">
      <w:pPr>
        <w:pStyle w:val="06-Pargrafodetexto-CLG"/>
      </w:pPr>
      <w:r>
        <w:t>Pelo seu art. 1º a proposição pretende acrescentar § 5º ao art. 14 da Lei nº 4.737, de 15 de julho de 1965 (Código Eleitoral), para vedar a indicação de servidor público hierarquicamente subordinado a Chefe do Poder Executivo para vaga de advogado junto a órgão colegiado da Justiça Eleitoral.</w:t>
      </w:r>
    </w:p>
    <w:p w:rsidR="00990760" w:rsidRDefault="00990760" w:rsidP="00990760">
      <w:pPr>
        <w:pStyle w:val="06-Pargrafodetexto-CLG"/>
      </w:pPr>
      <w:r>
        <w:t>O art. 2º traz a cláusula de vigência da lei proposta na data de sua publicação.</w:t>
      </w:r>
    </w:p>
    <w:p w:rsidR="00990760" w:rsidRDefault="00990760" w:rsidP="00990760">
      <w:pPr>
        <w:pStyle w:val="06-Pargrafodetexto-CLG"/>
      </w:pPr>
      <w:r>
        <w:t>A justificação pondera que o Tribunal Superior Eleitoral (TSE) e os Tribunais Regionais Eleitorais (</w:t>
      </w:r>
      <w:proofErr w:type="spellStart"/>
      <w:r>
        <w:t>TREs</w:t>
      </w:r>
      <w:proofErr w:type="spellEnd"/>
      <w:r>
        <w:t xml:space="preserve">) são integrados por magistrados de carreira e por advogados indicados pelo Supremo Tribunal Federal, no caso do TSE, ou pelo Tribunal de Justiça respectivo, no dos </w:t>
      </w:r>
      <w:proofErr w:type="spellStart"/>
      <w:r>
        <w:t>TREs</w:t>
      </w:r>
      <w:proofErr w:type="spellEnd"/>
      <w:r>
        <w:t>.</w:t>
      </w:r>
    </w:p>
    <w:p w:rsidR="00990760" w:rsidRDefault="00990760" w:rsidP="00990760">
      <w:pPr>
        <w:pStyle w:val="06-Pargrafodetexto-CLG"/>
      </w:pPr>
      <w:r>
        <w:lastRenderedPageBreak/>
        <w:t xml:space="preserve">Esses advogados costumam ser </w:t>
      </w:r>
      <w:proofErr w:type="gramStart"/>
      <w:r>
        <w:t>respaldados</w:t>
      </w:r>
      <w:proofErr w:type="gramEnd"/>
      <w:r>
        <w:t xml:space="preserve"> pela Ordem dos Advogados do Brasil (OAB), o que contribui para a legitimidade do processo de indicação.</w:t>
      </w:r>
    </w:p>
    <w:p w:rsidR="00990760" w:rsidRDefault="00990760" w:rsidP="00990760">
      <w:pPr>
        <w:pStyle w:val="06-Pargrafodetexto-CLG"/>
      </w:pPr>
      <w:r>
        <w:t>Segue a justificação consignando que a participação dos advogados especialistas em direito eleitoral enriquece a Justiça Eleitoral, entretanto o Código Eleitoral seria omisso quanto à indicação para compor os tribunais, na vaga de advogado, de servidores subordinados a agentes públicos como governadores e prefeitos, pessoas com interesse direto nas decisões dessas cortes de Justiça.</w:t>
      </w:r>
    </w:p>
    <w:p w:rsidR="00990760" w:rsidRDefault="00990760" w:rsidP="00990760">
      <w:pPr>
        <w:pStyle w:val="06-Pargrafodetexto-CLG"/>
      </w:pPr>
      <w:r>
        <w:t>Em face dessa omissão legislativa ocorreriam situações lamentáveis, com grave prejuízo à administração da Justiça. A</w:t>
      </w:r>
      <w:r w:rsidR="00435BBD">
        <w:t xml:space="preserve"> indicação, por exemplo, de um P</w:t>
      </w:r>
      <w:r>
        <w:t>rocurador do Estado ou do Município para compor tribunal regional ofenderia os preceitos legais, pois o procurador do estado é subordinado ao Governador, assim como o procurador do município é subordinado ao Prefeito e após cumprirem suas funções no tribunal regional eleitoral, voltarão à respectiva Procuradoria, e à condição de subordinados ao Governador ou ao Prefeito.</w:t>
      </w:r>
    </w:p>
    <w:p w:rsidR="00990760" w:rsidRDefault="00990760" w:rsidP="00990760">
      <w:pPr>
        <w:pStyle w:val="06-Pargrafodetexto-CLG"/>
      </w:pPr>
      <w:r>
        <w:t xml:space="preserve">A justificação consigna, ainda que embora o Código Eleitoral seja uma lei ordinária, suas disposições pertinentes à organização da Justiça Eleitoral foram recepcionadas pela Constituição com o status jurídico de lei complementar, em face do que dispõe o art. 121, </w:t>
      </w:r>
      <w:r w:rsidRPr="00CC5AD9">
        <w:rPr>
          <w:i/>
        </w:rPr>
        <w:t>caput</w:t>
      </w:r>
      <w:r>
        <w:t>, da Constituição. Por essa razão, devem ser objeto de alteração mediante projeto de lei complementar, tal como ora se propõe.</w:t>
      </w:r>
    </w:p>
    <w:p w:rsidR="00990760" w:rsidRDefault="00990760" w:rsidP="00990760">
      <w:pPr>
        <w:pStyle w:val="05-Pargrafodetexto-CLG"/>
        <w:spacing w:after="240"/>
      </w:pPr>
      <w:r>
        <w:t>Não há emendas ao presente projeto de lei.</w:t>
      </w:r>
    </w:p>
    <w:p w:rsidR="00990760" w:rsidRPr="005523B9" w:rsidRDefault="00990760" w:rsidP="00990760">
      <w:pPr>
        <w:pStyle w:val="05-Subttulo-CLG"/>
      </w:pPr>
      <w:r w:rsidRPr="005523B9">
        <w:t>II – ANÁLISE</w:t>
      </w:r>
    </w:p>
    <w:p w:rsidR="00990760" w:rsidRDefault="00990760" w:rsidP="00990760">
      <w:pPr>
        <w:pStyle w:val="06-Pargrafodetexto-CLG"/>
      </w:pPr>
      <w:r>
        <w:t xml:space="preserve">Compete a esta Comissão de Constituição, Justiça e Cidadania opinar sobre o presente projeto de lei, nos termos do previsto no art. 101, I e II, </w:t>
      </w:r>
      <w:r w:rsidRPr="002D7D6A">
        <w:rPr>
          <w:i/>
        </w:rPr>
        <w:t>‘d’</w:t>
      </w:r>
      <w:r>
        <w:t xml:space="preserve">, do Regimento Interno do Senado Federal (RISF). </w:t>
      </w:r>
    </w:p>
    <w:p w:rsidR="00990760" w:rsidRDefault="00990760" w:rsidP="00990760">
      <w:pPr>
        <w:pStyle w:val="06-Pargrafodetexto-CLG"/>
      </w:pPr>
      <w:r>
        <w:t xml:space="preserve">Com relação à constitucionalidade e juridicidade, registramos que cabe ao Congresso Nacional legislar privativamente sobre direito eleitoral por meio de lei, conforme </w:t>
      </w:r>
      <w:proofErr w:type="gramStart"/>
      <w:r>
        <w:t>previsto no art. 22, I, combinado com art. 48, da Constituição Federal, facultada</w:t>
      </w:r>
      <w:proofErr w:type="gramEnd"/>
      <w:r>
        <w:t xml:space="preserve"> a iniciativa parlamentar, nos termos da regra geral prevista no art. 61, também da Lei Maior.</w:t>
      </w:r>
    </w:p>
    <w:p w:rsidR="00990760" w:rsidRDefault="00990760" w:rsidP="00990760">
      <w:pPr>
        <w:pStyle w:val="06-Pargrafodetexto-CLG"/>
      </w:pPr>
      <w:proofErr w:type="gramStart"/>
      <w:r>
        <w:lastRenderedPageBreak/>
        <w:t>Outrossim</w:t>
      </w:r>
      <w:proofErr w:type="gramEnd"/>
      <w:r>
        <w:t>, o art. 121 da Lei Maior prevê que a organização dos tribunais será tratada mediante lei complementar.</w:t>
      </w:r>
    </w:p>
    <w:p w:rsidR="00990760" w:rsidRDefault="00990760" w:rsidP="00990760">
      <w:pPr>
        <w:pStyle w:val="06-Pargrafodetexto-CLG"/>
      </w:pPr>
      <w:r>
        <w:t>Por outro lado, no que diz respeito ao mérito</w:t>
      </w:r>
      <w:r w:rsidR="00435BBD">
        <w:t>,</w:t>
      </w:r>
      <w:r>
        <w:t xml:space="preserve"> somos favoráveis à aprovação da presente iniciativa.</w:t>
      </w:r>
    </w:p>
    <w:p w:rsidR="00990760" w:rsidRDefault="00990760" w:rsidP="00990760">
      <w:pPr>
        <w:pStyle w:val="06-Pargrafodetexto-CLG"/>
      </w:pPr>
      <w:r>
        <w:t>Com efeito, é necessário que sejam adotadas medidas para dar mais efetividade aos princípios constitucionais da moralidade e da impessoalidade na composição dos tribunais eleitorais.</w:t>
      </w:r>
    </w:p>
    <w:p w:rsidR="00990760" w:rsidRDefault="00990760" w:rsidP="00990760">
      <w:pPr>
        <w:pStyle w:val="06-Pargrafodetexto-CLG"/>
      </w:pPr>
      <w:r>
        <w:t xml:space="preserve">E efetivamente nos parece razoável a tese defendida na presente proposição, no sentido de que a presença de servidores públicos subordinados hierarquicamente aos Chefes do Poder Executivo em tribunais eleitorais não é adequada, uma vez que terminado o </w:t>
      </w:r>
      <w:r w:rsidR="00EC0E25">
        <w:t xml:space="preserve">mandato </w:t>
      </w:r>
      <w:r>
        <w:t xml:space="preserve">desses servidores, que podem permanecer nos tribunais eleitorais por no máximo quatro anos, </w:t>
      </w:r>
      <w:r w:rsidR="00EC0E25">
        <w:t>eles</w:t>
      </w:r>
      <w:r>
        <w:t xml:space="preserve"> retornam à sua atividade funcional na administração pública</w:t>
      </w:r>
      <w:r w:rsidR="00EC0E25">
        <w:t xml:space="preserve"> e</w:t>
      </w:r>
      <w:proofErr w:type="gramStart"/>
      <w:r w:rsidR="00EC0E25">
        <w:t xml:space="preserve"> portanto</w:t>
      </w:r>
      <w:proofErr w:type="gramEnd"/>
      <w:r w:rsidR="00EC0E25">
        <w:t xml:space="preserve"> muitas vezes dependem de decisões adotadas pela chefia da administração</w:t>
      </w:r>
      <w:r>
        <w:t>.</w:t>
      </w:r>
    </w:p>
    <w:p w:rsidR="00990760" w:rsidRDefault="00990760" w:rsidP="00990760">
      <w:pPr>
        <w:pStyle w:val="06-Pargrafodetexto-CLG"/>
      </w:pPr>
      <w:r>
        <w:t>Desse modo, entendemos como de boa prudência e de correta prevenção vedar a indicação dos referidos servidores públicos para ocupar os lugares destinados à advocacia nos tribunais eleitorais.</w:t>
      </w:r>
    </w:p>
    <w:p w:rsidR="00990760" w:rsidRDefault="00990760" w:rsidP="00990760">
      <w:pPr>
        <w:pStyle w:val="06-Pargrafodetexto-CLG"/>
      </w:pPr>
      <w:r>
        <w:t>Estamos apenas apresentando emenda de mera redação com o objetivo de aperfeiçoar a proposição.</w:t>
      </w:r>
    </w:p>
    <w:p w:rsidR="00990760" w:rsidRDefault="00990760" w:rsidP="00990760">
      <w:pPr>
        <w:pStyle w:val="05-Subttulo-CLG"/>
      </w:pPr>
      <w:r>
        <w:t>III – VOTO</w:t>
      </w:r>
    </w:p>
    <w:p w:rsidR="00990760" w:rsidRDefault="00990760" w:rsidP="00990760">
      <w:pPr>
        <w:pStyle w:val="06-Pargrafodetexto-CLG"/>
      </w:pPr>
      <w:r>
        <w:t xml:space="preserve">Ante o exposto, votamos pela constitucionalidade, juridicidade, </w:t>
      </w:r>
      <w:proofErr w:type="spellStart"/>
      <w:r>
        <w:t>regimentalidade</w:t>
      </w:r>
      <w:proofErr w:type="spellEnd"/>
      <w:r>
        <w:t xml:space="preserve"> e, no mérito, pela aprovação do Projeto de Lei do Senado nº 329, de 2014 – Complementar, com a seguinte emenda:</w:t>
      </w:r>
    </w:p>
    <w:p w:rsidR="00990760" w:rsidRPr="001E7237" w:rsidRDefault="004C0F24" w:rsidP="00990760">
      <w:pPr>
        <w:pStyle w:val="06-Pargrafodetexto-CLG"/>
        <w:ind w:firstLine="0"/>
        <w:jc w:val="center"/>
        <w:rPr>
          <w:b/>
        </w:rPr>
      </w:pPr>
      <w:r>
        <w:rPr>
          <w:b/>
        </w:rPr>
        <w:t>EMENDA Nº 1-</w:t>
      </w:r>
      <w:r w:rsidR="00990760" w:rsidRPr="001E7237">
        <w:rPr>
          <w:b/>
        </w:rPr>
        <w:t>CCJ</w:t>
      </w:r>
    </w:p>
    <w:p w:rsidR="00990760" w:rsidRDefault="00990760" w:rsidP="00990760">
      <w:pPr>
        <w:pStyle w:val="06-Pargrafodetexto-CLG"/>
      </w:pPr>
      <w:r>
        <w:t>Dê-se a seguinte redação ao § 5º que o art. 1º do PLS nº 329, de 2014, acrescenta ao art. 14 da Lei nº 4.737, de 1965 (Código Eleitoral):</w:t>
      </w:r>
    </w:p>
    <w:p w:rsidR="00990760" w:rsidRDefault="00990760" w:rsidP="00990760">
      <w:pPr>
        <w:pStyle w:val="06-Pargrafodetexto-CLG"/>
      </w:pPr>
      <w:r>
        <w:t>“Art. 1º</w:t>
      </w:r>
      <w:proofErr w:type="gramStart"/>
      <w:r>
        <w:t>. ...</w:t>
      </w:r>
      <w:proofErr w:type="gramEnd"/>
      <w:r>
        <w:t>.................................................................</w:t>
      </w:r>
    </w:p>
    <w:p w:rsidR="00990760" w:rsidRDefault="00990760" w:rsidP="00990760">
      <w:pPr>
        <w:pStyle w:val="06-Pargrafodetexto-CLG"/>
        <w:ind w:left="1416"/>
      </w:pPr>
      <w:r>
        <w:t xml:space="preserve">‘Art. 14. </w:t>
      </w:r>
      <w:proofErr w:type="gramStart"/>
      <w:r>
        <w:t>..................................................................</w:t>
      </w:r>
      <w:proofErr w:type="gramEnd"/>
    </w:p>
    <w:p w:rsidR="00990760" w:rsidRDefault="00990760" w:rsidP="00990760">
      <w:pPr>
        <w:pStyle w:val="06-Pargrafodetexto-CLG"/>
        <w:ind w:left="1416"/>
      </w:pPr>
      <w:r>
        <w:lastRenderedPageBreak/>
        <w:t xml:space="preserve">§ 5º É vedada a indicação de servidor público do Poder Executivo para ocupar vaga de advogado nos tribunais </w:t>
      </w:r>
      <w:proofErr w:type="gramStart"/>
      <w:r>
        <w:t>eleitorais.</w:t>
      </w:r>
      <w:proofErr w:type="gramEnd"/>
      <w:r>
        <w:t>’ ”</w:t>
      </w:r>
    </w:p>
    <w:p w:rsidR="00990760" w:rsidRDefault="00990760" w:rsidP="00990760">
      <w:pPr>
        <w:pStyle w:val="06-Pargrafodetexto-CLG"/>
      </w:pPr>
    </w:p>
    <w:p w:rsidR="00990760" w:rsidRDefault="00990760" w:rsidP="00990760">
      <w:pPr>
        <w:pStyle w:val="10-Local-CLG"/>
      </w:pPr>
      <w:r>
        <w:t>Sala da Comissão,</w:t>
      </w:r>
      <w:r w:rsidR="004C0F24">
        <w:t xml:space="preserve"> 30 de setembro de </w:t>
      </w:r>
      <w:proofErr w:type="gramStart"/>
      <w:r w:rsidR="004C0F24">
        <w:t>2015</w:t>
      </w:r>
      <w:proofErr w:type="gramEnd"/>
    </w:p>
    <w:p w:rsidR="00990760" w:rsidRPr="00724990" w:rsidRDefault="004C0F24" w:rsidP="004C0F24">
      <w:pPr>
        <w:pStyle w:val="11-Assinaturas-CLG"/>
        <w:ind w:left="1701"/>
        <w:jc w:val="right"/>
      </w:pPr>
      <w:r>
        <w:t>Senador JOSÉ MARANHÃO</w:t>
      </w:r>
      <w:r w:rsidR="00990760">
        <w:t xml:space="preserve">, </w:t>
      </w:r>
      <w:proofErr w:type="gramStart"/>
      <w:r w:rsidR="00990760">
        <w:t>Presidente</w:t>
      </w:r>
      <w:proofErr w:type="gramEnd"/>
    </w:p>
    <w:p w:rsidR="00990760" w:rsidRPr="009202FE" w:rsidRDefault="004C0F24" w:rsidP="004C0F24">
      <w:pPr>
        <w:pStyle w:val="11-Assinaturas-CLG"/>
        <w:ind w:left="1701"/>
        <w:jc w:val="right"/>
      </w:pPr>
      <w:r>
        <w:t>Senador RANDOLFE RODRIGUES</w:t>
      </w:r>
      <w:r w:rsidR="00990760">
        <w:t>, Relator</w:t>
      </w:r>
      <w:r>
        <w:t xml:space="preserve"> </w:t>
      </w:r>
      <w:r w:rsidRPr="004C0F24">
        <w:rPr>
          <w:i/>
        </w:rPr>
        <w:t xml:space="preserve">AD </w:t>
      </w:r>
      <w:proofErr w:type="gramStart"/>
      <w:r w:rsidRPr="004C0F24">
        <w:rPr>
          <w:i/>
        </w:rPr>
        <w:t>HOC</w:t>
      </w:r>
      <w:proofErr w:type="gramEnd"/>
    </w:p>
    <w:p w:rsidR="00E8004E" w:rsidRDefault="00E8004E"/>
    <w:sectPr w:rsidR="00E8004E" w:rsidSect="00791AD9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E0" w:rsidRDefault="007F16E0">
      <w:pPr>
        <w:spacing w:line="240" w:lineRule="auto"/>
      </w:pPr>
      <w:r>
        <w:separator/>
      </w:r>
    </w:p>
  </w:endnote>
  <w:endnote w:type="continuationSeparator" w:id="0">
    <w:p w:rsidR="007F16E0" w:rsidRDefault="007F1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D9" w:rsidRDefault="00791AD9">
    <w:pPr>
      <w:pStyle w:val="Rodap"/>
      <w:rPr>
        <w:i/>
        <w:sz w:val="18"/>
      </w:rPr>
    </w:pPr>
    <w:proofErr w:type="gramStart"/>
    <w:r>
      <w:rPr>
        <w:i/>
        <w:sz w:val="18"/>
        <w:szCs w:val="18"/>
      </w:rPr>
      <w:t>ft2015</w:t>
    </w:r>
    <w:proofErr w:type="gramEnd"/>
    <w:r>
      <w:rPr>
        <w:i/>
        <w:sz w:val="18"/>
        <w:szCs w:val="18"/>
      </w:rPr>
      <w:t>-03579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D9" w:rsidRPr="00342E7D" w:rsidRDefault="00791AD9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E0" w:rsidRDefault="007F16E0">
      <w:pPr>
        <w:spacing w:line="240" w:lineRule="auto"/>
      </w:pPr>
      <w:r>
        <w:separator/>
      </w:r>
    </w:p>
  </w:footnote>
  <w:footnote w:type="continuationSeparator" w:id="0">
    <w:p w:rsidR="007F16E0" w:rsidRDefault="007F16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D9" w:rsidRDefault="0056213B" w:rsidP="00791A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A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AD9" w:rsidRDefault="00791AD9">
    <w:pPr>
      <w:pStyle w:val="Cabealho"/>
      <w:ind w:right="360"/>
    </w:pPr>
  </w:p>
  <w:p w:rsidR="00791AD9" w:rsidRDefault="00791A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D9" w:rsidRDefault="0056213B" w:rsidP="00791A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A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F2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91AD9" w:rsidRDefault="00791AD9">
    <w:pPr>
      <w:pStyle w:val="Cabealho"/>
      <w:ind w:right="360"/>
    </w:pPr>
  </w:p>
  <w:p w:rsidR="00791AD9" w:rsidRDefault="00791A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60"/>
    <w:rsid w:val="001D11B2"/>
    <w:rsid w:val="003A62A0"/>
    <w:rsid w:val="00435BBD"/>
    <w:rsid w:val="004C0F24"/>
    <w:rsid w:val="0056213B"/>
    <w:rsid w:val="005D1AFC"/>
    <w:rsid w:val="00750A5D"/>
    <w:rsid w:val="00791AD9"/>
    <w:rsid w:val="007F16E0"/>
    <w:rsid w:val="00990760"/>
    <w:rsid w:val="00C221E8"/>
    <w:rsid w:val="00D66231"/>
    <w:rsid w:val="00E8004E"/>
    <w:rsid w:val="00E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90760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90760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semiHidden/>
    <w:rsid w:val="009907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990760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semiHidden/>
    <w:rsid w:val="009907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990760"/>
  </w:style>
  <w:style w:type="paragraph" w:customStyle="1" w:styleId="01-Minuta-CLG">
    <w:name w:val="01 - Minuta - CLG"/>
    <w:link w:val="01-Minuta-CLGChar"/>
    <w:rsid w:val="00990760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990760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990760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990760"/>
    <w:rPr>
      <w:rFonts w:ascii="Times New Roman" w:eastAsia="Arial Unicode MS" w:hAnsi="Times New Roman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990760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990760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990760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basedOn w:val="Fontepargpadro"/>
    <w:link w:val="01-Minuta-CLG"/>
    <w:rsid w:val="00990760"/>
    <w:rPr>
      <w:rFonts w:ascii="Times New Roman" w:eastAsia="Times New Roman" w:hAnsi="Times New Roman"/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990760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990760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990760"/>
    <w:rPr>
      <w:rFonts w:ascii="Times New Roman" w:eastAsia="Times New Roman" w:hAnsi="Times New Roman"/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basedOn w:val="Fontepargpadro"/>
    <w:link w:val="04-Relatoria-CLG"/>
    <w:rsid w:val="00990760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05-Subttulo-CLGChar">
    <w:name w:val="05 - Subtítulo - CLG Char"/>
    <w:basedOn w:val="Fontepargpadro"/>
    <w:link w:val="05-Subttulo-CLG"/>
    <w:rsid w:val="00990760"/>
    <w:rPr>
      <w:rFonts w:ascii="Times New Roman" w:eastAsia="Times New Roman" w:hAnsi="Times New Roman"/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990760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0-Local-CLGChar">
    <w:name w:val="10 - Local - CLG Char"/>
    <w:basedOn w:val="Fontepargpadro"/>
    <w:link w:val="10-Local-CLG"/>
    <w:rsid w:val="00990760"/>
    <w:rPr>
      <w:rFonts w:ascii="Times New Roman" w:eastAsia="Times New Roman" w:hAnsi="Times New Roman"/>
      <w:sz w:val="28"/>
      <w:lang w:val="pt-BR" w:eastAsia="pt-BR" w:bidi="ar-SA"/>
    </w:rPr>
  </w:style>
  <w:style w:type="character" w:customStyle="1" w:styleId="11-Assinaturas-CLGChar">
    <w:name w:val="11 - Assinaturas - CLG Char"/>
    <w:basedOn w:val="Fontepargpadro"/>
    <w:link w:val="11-Assinaturas-CLG"/>
    <w:rsid w:val="00990760"/>
    <w:rPr>
      <w:rFonts w:ascii="Times New Roman" w:eastAsia="Times New Roman" w:hAnsi="Times New Roman"/>
      <w:sz w:val="28"/>
      <w:lang w:val="pt-BR" w:eastAsia="pt-BR" w:bidi="ar-SA"/>
    </w:rPr>
  </w:style>
  <w:style w:type="paragraph" w:customStyle="1" w:styleId="05-Pargrafodetexto-CLG">
    <w:name w:val="05 - Parágrafo de texto - CLG"/>
    <w:rsid w:val="00990760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435B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5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5BBD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BB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BD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4C0F24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dezen</dc:creator>
  <cp:lastModifiedBy>dantunes</cp:lastModifiedBy>
  <cp:revision>2</cp:revision>
  <dcterms:created xsi:type="dcterms:W3CDTF">2015-09-30T19:39:00Z</dcterms:created>
  <dcterms:modified xsi:type="dcterms:W3CDTF">2015-09-30T19:39:00Z</dcterms:modified>
</cp:coreProperties>
</file>