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7B" w:rsidRDefault="00C020F5" w:rsidP="00BD5D7B">
      <w:pPr>
        <w:pStyle w:val="02-TtuloPrincipal-CLG"/>
      </w:pPr>
      <w:r>
        <w:t xml:space="preserve">PARECER </w:t>
      </w:r>
      <w:proofErr w:type="gramStart"/>
      <w:r>
        <w:t>Nº       ,</w:t>
      </w:r>
      <w:proofErr w:type="gramEnd"/>
      <w:r>
        <w:t xml:space="preserve"> DE 2015</w:t>
      </w:r>
    </w:p>
    <w:p w:rsidR="00BD5D7B" w:rsidRDefault="00BD5D7B" w:rsidP="00BD5D7B">
      <w:pPr>
        <w:pStyle w:val="03-Ementa-CLG"/>
      </w:pPr>
      <w:bookmarkStart w:id="0" w:name="sigla_comissao"/>
      <w:bookmarkStart w:id="1" w:name="nome_comissao"/>
      <w:r>
        <w:t>Da COMISSÃO</w:t>
      </w:r>
      <w:bookmarkEnd w:id="0"/>
      <w:r>
        <w:t xml:space="preserve"> </w:t>
      </w:r>
      <w:bookmarkEnd w:id="1"/>
      <w:r>
        <w:t xml:space="preserve">DE SERVIÇOS DE INFRAESTRUTURA, sobre </w:t>
      </w:r>
      <w:r w:rsidR="0048752D">
        <w:t xml:space="preserve">o Projeto de Lei do Senado nº </w:t>
      </w:r>
      <w:r w:rsidR="003526F9">
        <w:t>15</w:t>
      </w:r>
      <w:r w:rsidR="0048752D">
        <w:t xml:space="preserve">, de 2014, do Senador Alfredo Nascimento, que </w:t>
      </w:r>
      <w:r w:rsidR="003526F9">
        <w:rPr>
          <w:i/>
        </w:rPr>
        <w:t xml:space="preserve">suspende a exigência da </w:t>
      </w:r>
      <w:r w:rsidR="0048752D" w:rsidRPr="00B861A5">
        <w:rPr>
          <w:i/>
        </w:rPr>
        <w:t>Contribuição para o PIS/PASEP</w:t>
      </w:r>
      <w:r w:rsidR="003526F9">
        <w:rPr>
          <w:i/>
        </w:rPr>
        <w:t xml:space="preserve">, da Contribuição para o PIS/PASEP-Importação, </w:t>
      </w:r>
      <w:r w:rsidR="0048752D" w:rsidRPr="00B861A5">
        <w:rPr>
          <w:i/>
        </w:rPr>
        <w:t xml:space="preserve">da </w:t>
      </w:r>
      <w:proofErr w:type="gramStart"/>
      <w:r w:rsidR="003526F9">
        <w:rPr>
          <w:i/>
        </w:rPr>
        <w:t>Cofins</w:t>
      </w:r>
      <w:proofErr w:type="gramEnd"/>
      <w:r w:rsidR="003526F9">
        <w:rPr>
          <w:i/>
        </w:rPr>
        <w:t xml:space="preserve"> e da Cofins-Importação sobre a venda ou importação de óleo diesel, quando destinado ao transporte fluvial de carga</w:t>
      </w:r>
      <w:r w:rsidR="0048752D">
        <w:t>.</w:t>
      </w:r>
    </w:p>
    <w:p w:rsidR="00BD5D7B" w:rsidRDefault="00BD5D7B" w:rsidP="00BD5D7B">
      <w:pPr>
        <w:pStyle w:val="04-Relatoria-CLG"/>
      </w:pPr>
      <w:r>
        <w:t xml:space="preserve">RELATOR: Senador </w:t>
      </w:r>
      <w:r w:rsidR="00A629B6" w:rsidRPr="00A629B6">
        <w:rPr>
          <w:b/>
          <w:caps/>
        </w:rPr>
        <w:t>Wellington Fagundes</w:t>
      </w:r>
      <w:r>
        <w:t xml:space="preserve"> </w:t>
      </w:r>
    </w:p>
    <w:p w:rsidR="00BD5D7B" w:rsidRDefault="00BD5D7B" w:rsidP="00BD5D7B">
      <w:pPr>
        <w:pStyle w:val="05-Subttulo-CLG"/>
      </w:pPr>
      <w:r>
        <w:t>I – RELATÓRIO</w:t>
      </w:r>
    </w:p>
    <w:p w:rsidR="00CC5F90" w:rsidRDefault="00A629B6" w:rsidP="00F642A1">
      <w:pPr>
        <w:pStyle w:val="06-Pargrafodetexto-CLG"/>
      </w:pPr>
      <w:r>
        <w:t xml:space="preserve">Foi submetido para </w:t>
      </w:r>
      <w:r w:rsidR="00A50816">
        <w:t xml:space="preserve">análise </w:t>
      </w:r>
      <w:r>
        <w:t>da</w:t>
      </w:r>
      <w:r w:rsidR="00A50816">
        <w:t xml:space="preserve"> Comissão de Serviços de Infraestrutura (CI) o</w:t>
      </w:r>
      <w:r w:rsidR="00CC5F90">
        <w:t xml:space="preserve"> Projeto de Lei do Senado</w:t>
      </w:r>
      <w:r w:rsidR="00A50816">
        <w:t xml:space="preserve"> (PLS)</w:t>
      </w:r>
      <w:r w:rsidR="00CC5F90">
        <w:t xml:space="preserve"> </w:t>
      </w:r>
      <w:r w:rsidR="00F642A1">
        <w:t xml:space="preserve">nº </w:t>
      </w:r>
      <w:r w:rsidR="003526F9">
        <w:t>15</w:t>
      </w:r>
      <w:r w:rsidR="00F642A1">
        <w:t>, de 201</w:t>
      </w:r>
      <w:r w:rsidR="00CC5F90">
        <w:t>4</w:t>
      </w:r>
      <w:r w:rsidR="00F642A1">
        <w:t xml:space="preserve">, de autoria do </w:t>
      </w:r>
      <w:r w:rsidR="00CC5F90">
        <w:t>Senador Alfredo Nascimento</w:t>
      </w:r>
      <w:r w:rsidR="00F642A1">
        <w:t xml:space="preserve">, </w:t>
      </w:r>
      <w:r>
        <w:t>com o intuito de dar competitividade a</w:t>
      </w:r>
      <w:r w:rsidR="00CB5382">
        <w:t>o</w:t>
      </w:r>
      <w:r>
        <w:t xml:space="preserve"> modal de</w:t>
      </w:r>
      <w:r w:rsidR="00CB5382">
        <w:t xml:space="preserve"> </w:t>
      </w:r>
      <w:r w:rsidR="0066025E">
        <w:t xml:space="preserve">transporte fluvial </w:t>
      </w:r>
      <w:r w:rsidR="00CB5382">
        <w:t xml:space="preserve">de </w:t>
      </w:r>
      <w:r w:rsidR="0066025E">
        <w:t xml:space="preserve">carga </w:t>
      </w:r>
      <w:r w:rsidR="00E15415">
        <w:t>a partir da suspensão da</w:t>
      </w:r>
      <w:r w:rsidR="00E15415" w:rsidRPr="00E15415">
        <w:t xml:space="preserve"> exigência da Contribuição para o PIS/PASEP, da Contribuição para o PIS/PASEP-Importação, da </w:t>
      </w:r>
      <w:proofErr w:type="gramStart"/>
      <w:r w:rsidR="00E15415" w:rsidRPr="00E15415">
        <w:t>Cofins</w:t>
      </w:r>
      <w:proofErr w:type="gramEnd"/>
      <w:r w:rsidR="00E15415" w:rsidRPr="00E15415">
        <w:t xml:space="preserve"> e da Cofins-Importação </w:t>
      </w:r>
      <w:r>
        <w:t>que incidem atualmente no óleo diesel</w:t>
      </w:r>
      <w:r w:rsidR="00FA3C69">
        <w:t>,</w:t>
      </w:r>
      <w:r>
        <w:t xml:space="preserve"> apenas quando utilizado para essa finalidade</w:t>
      </w:r>
      <w:r w:rsidR="0066025E">
        <w:t>.</w:t>
      </w:r>
    </w:p>
    <w:p w:rsidR="008556BB" w:rsidRDefault="008556BB" w:rsidP="00F642A1">
      <w:pPr>
        <w:pStyle w:val="06-Pargrafodetexto-CLG"/>
      </w:pPr>
    </w:p>
    <w:p w:rsidR="00CC5F90" w:rsidRDefault="00A629B6" w:rsidP="00F642A1">
      <w:pPr>
        <w:pStyle w:val="06-Pargrafodetexto-CLG"/>
      </w:pPr>
      <w:r>
        <w:t xml:space="preserve">A proposição legislativa do ilustre Senador Alfredo Nascimento determina </w:t>
      </w:r>
      <w:r w:rsidR="00E15415">
        <w:t xml:space="preserve">os termos e condições para habilitação das pessoas jurídicas beneficiadas </w:t>
      </w:r>
      <w:r>
        <w:t>pelo aperfeiçoamento legal e que</w:t>
      </w:r>
      <w:r w:rsidR="00E15415">
        <w:t xml:space="preserve"> serão estabelecidas pela Secretaria da Receita Federal do Brasil (RFB)</w:t>
      </w:r>
      <w:r w:rsidR="00605145">
        <w:t>.</w:t>
      </w:r>
    </w:p>
    <w:p w:rsidR="008556BB" w:rsidRDefault="008556BB" w:rsidP="00F642A1">
      <w:pPr>
        <w:pStyle w:val="06-Pargrafodetexto-CLG"/>
      </w:pPr>
    </w:p>
    <w:p w:rsidR="00605145" w:rsidRDefault="00A629B6" w:rsidP="00F642A1">
      <w:pPr>
        <w:pStyle w:val="06-Pargrafodetexto-CLG"/>
      </w:pPr>
      <w:r>
        <w:t xml:space="preserve">Estabelece ainda </w:t>
      </w:r>
      <w:r w:rsidR="00605145">
        <w:t xml:space="preserve">a obrigatoriedade de recolhimento das contribuições suspensas daquele óleo diesel adquirido </w:t>
      </w:r>
      <w:r w:rsidR="000F390E">
        <w:t xml:space="preserve">pelas pessoas jurídicas </w:t>
      </w:r>
      <w:r w:rsidR="000F390E">
        <w:lastRenderedPageBreak/>
        <w:t xml:space="preserve">habilitadas, acrescido de juros e multa de mora, quando elas </w:t>
      </w:r>
      <w:r w:rsidR="00605145">
        <w:t>não destina</w:t>
      </w:r>
      <w:r w:rsidR="000F390E">
        <w:t>rem o combustível</w:t>
      </w:r>
      <w:r w:rsidR="00605145">
        <w:t xml:space="preserve"> ao transporte fluvial de carga.</w:t>
      </w:r>
    </w:p>
    <w:p w:rsidR="008556BB" w:rsidRDefault="008556BB" w:rsidP="00F642A1">
      <w:pPr>
        <w:pStyle w:val="06-Pargrafodetexto-CLG"/>
      </w:pPr>
    </w:p>
    <w:p w:rsidR="00605145" w:rsidRDefault="000F390E" w:rsidP="0048752D">
      <w:pPr>
        <w:pStyle w:val="06-Pargrafodetexto-CLG"/>
      </w:pPr>
      <w:r>
        <w:t xml:space="preserve">O autor espera </w:t>
      </w:r>
      <w:r w:rsidR="00605145">
        <w:t xml:space="preserve">que a eliminação das contribuições sobre essa parcela de diesel </w:t>
      </w:r>
      <w:r>
        <w:t xml:space="preserve">reduza </w:t>
      </w:r>
      <w:r w:rsidR="00605145">
        <w:t>o preço final de venda dos produtos aos consumidores</w:t>
      </w:r>
      <w:r>
        <w:t>, principalmente aqueles ribeirinhos,</w:t>
      </w:r>
      <w:r w:rsidR="00605145">
        <w:t xml:space="preserve"> possibilita</w:t>
      </w:r>
      <w:r w:rsidR="00FA3C69">
        <w:t>ndo</w:t>
      </w:r>
      <w:r w:rsidR="00605145">
        <w:t xml:space="preserve"> o acesso a uma maior quantidade de mercadorias a preços mais razoáveis</w:t>
      </w:r>
      <w:r w:rsidR="00FA3C69">
        <w:t xml:space="preserve"> e, consequentemente,</w:t>
      </w:r>
      <w:r w:rsidR="00605145">
        <w:t xml:space="preserve"> estimulando o consumo.</w:t>
      </w:r>
    </w:p>
    <w:p w:rsidR="008556BB" w:rsidRDefault="008556BB" w:rsidP="0048752D">
      <w:pPr>
        <w:pStyle w:val="06-Pargrafodetexto-CLG"/>
      </w:pPr>
    </w:p>
    <w:p w:rsidR="00876D62" w:rsidRDefault="00876D62" w:rsidP="00876D62">
      <w:pPr>
        <w:pStyle w:val="06-Pargrafodetexto-CLG"/>
      </w:pPr>
      <w:r>
        <w:rPr>
          <w:rFonts w:ascii="Times" w:hAnsi="Times"/>
          <w:spacing w:val="-4"/>
        </w:rPr>
        <w:t xml:space="preserve">A </w:t>
      </w:r>
      <w:r w:rsidR="00605145">
        <w:rPr>
          <w:rFonts w:ascii="Times" w:hAnsi="Times"/>
          <w:spacing w:val="-4"/>
        </w:rPr>
        <w:t xml:space="preserve">proposição legislativa </w:t>
      </w:r>
      <w:r>
        <w:rPr>
          <w:rFonts w:ascii="Times" w:hAnsi="Times"/>
          <w:spacing w:val="-4"/>
        </w:rPr>
        <w:t xml:space="preserve">foi distribuída </w:t>
      </w:r>
      <w:r w:rsidR="00605145">
        <w:rPr>
          <w:rFonts w:ascii="Times" w:hAnsi="Times"/>
          <w:spacing w:val="-4"/>
        </w:rPr>
        <w:t xml:space="preserve">a esta </w:t>
      </w:r>
      <w:r w:rsidR="00FA3C69">
        <w:rPr>
          <w:rFonts w:ascii="Times" w:hAnsi="Times"/>
          <w:spacing w:val="-4"/>
        </w:rPr>
        <w:t>C</w:t>
      </w:r>
      <w:r w:rsidR="00605145">
        <w:rPr>
          <w:rFonts w:ascii="Times" w:hAnsi="Times"/>
          <w:spacing w:val="-4"/>
        </w:rPr>
        <w:t>omissão</w:t>
      </w:r>
      <w:r w:rsidR="00611044">
        <w:rPr>
          <w:rFonts w:ascii="Times" w:hAnsi="Times"/>
          <w:spacing w:val="-4"/>
        </w:rPr>
        <w:t xml:space="preserve"> e </w:t>
      </w:r>
      <w:r w:rsidR="00CB4126">
        <w:rPr>
          <w:rFonts w:ascii="Times" w:hAnsi="Times"/>
          <w:spacing w:val="-4"/>
        </w:rPr>
        <w:t xml:space="preserve">à </w:t>
      </w:r>
      <w:r w:rsidR="00FF474D">
        <w:rPr>
          <w:rFonts w:ascii="Times" w:hAnsi="Times"/>
          <w:spacing w:val="-4"/>
        </w:rPr>
        <w:t>Comissão de Assuntos Econômicos (CAE)</w:t>
      </w:r>
      <w:r w:rsidR="00611044">
        <w:rPr>
          <w:rFonts w:ascii="Times" w:hAnsi="Times"/>
          <w:spacing w:val="-4"/>
        </w:rPr>
        <w:t xml:space="preserve">, </w:t>
      </w:r>
      <w:r w:rsidR="00927E55">
        <w:rPr>
          <w:rFonts w:ascii="Times" w:hAnsi="Times"/>
          <w:spacing w:val="-4"/>
        </w:rPr>
        <w:t xml:space="preserve">à </w:t>
      </w:r>
      <w:r w:rsidR="00611044">
        <w:rPr>
          <w:rFonts w:ascii="Times" w:hAnsi="Times"/>
          <w:spacing w:val="-4"/>
        </w:rPr>
        <w:t>qu</w:t>
      </w:r>
      <w:r w:rsidR="00FA3C69">
        <w:rPr>
          <w:rFonts w:ascii="Times" w:hAnsi="Times"/>
          <w:spacing w:val="-4"/>
        </w:rPr>
        <w:t>al</w:t>
      </w:r>
      <w:r w:rsidR="00611044">
        <w:rPr>
          <w:rFonts w:ascii="Times" w:hAnsi="Times"/>
          <w:spacing w:val="-4"/>
        </w:rPr>
        <w:t xml:space="preserve"> caberá </w:t>
      </w:r>
      <w:r w:rsidR="00FA3C69">
        <w:rPr>
          <w:rFonts w:ascii="Times" w:hAnsi="Times"/>
          <w:spacing w:val="-4"/>
        </w:rPr>
        <w:t xml:space="preserve">a </w:t>
      </w:r>
      <w:r w:rsidR="00E75E44">
        <w:rPr>
          <w:rFonts w:ascii="Times" w:hAnsi="Times"/>
          <w:spacing w:val="-4"/>
        </w:rPr>
        <w:t>decisão terminativa</w:t>
      </w:r>
      <w:r>
        <w:rPr>
          <w:rFonts w:ascii="Times" w:hAnsi="Times"/>
          <w:spacing w:val="-4"/>
        </w:rPr>
        <w:t>.</w:t>
      </w:r>
      <w:r w:rsidRPr="000F42DB">
        <w:t xml:space="preserve"> </w:t>
      </w:r>
    </w:p>
    <w:p w:rsidR="008556BB" w:rsidRDefault="008556BB" w:rsidP="00876D62">
      <w:pPr>
        <w:pStyle w:val="06-Pargrafodetexto-CLG"/>
      </w:pPr>
    </w:p>
    <w:p w:rsidR="00876D62" w:rsidRDefault="00876D62" w:rsidP="00876D62">
      <w:pPr>
        <w:pStyle w:val="05-Pargrafodetexto-CLG"/>
      </w:pPr>
      <w:r w:rsidRPr="000F42DB">
        <w:t>Não foram apresentadas emendas</w:t>
      </w:r>
      <w:r w:rsidR="000F390E">
        <w:t xml:space="preserve"> no prazo regimental</w:t>
      </w:r>
      <w:r w:rsidRPr="000F42DB">
        <w:t>.</w:t>
      </w:r>
    </w:p>
    <w:p w:rsidR="00BD5D7B" w:rsidRPr="005523B9" w:rsidRDefault="00BD5D7B" w:rsidP="00BD5D7B">
      <w:pPr>
        <w:pStyle w:val="05-Subttulo-CLG"/>
      </w:pPr>
      <w:r w:rsidRPr="005523B9">
        <w:t>II – ANÁLISE</w:t>
      </w:r>
    </w:p>
    <w:p w:rsidR="00660134" w:rsidRDefault="000F390E" w:rsidP="00660134">
      <w:pPr>
        <w:pStyle w:val="06-Pargrafodetexto-CLG"/>
      </w:pPr>
      <w:r>
        <w:t>Segundo o art. 104, incisos I e II</w:t>
      </w:r>
      <w:r w:rsidR="00927E55">
        <w:t>,</w:t>
      </w:r>
      <w:r>
        <w:t xml:space="preserve"> do</w:t>
      </w:r>
      <w:r w:rsidR="00660134">
        <w:t xml:space="preserve"> </w:t>
      </w:r>
      <w:r w:rsidR="00F642A1">
        <w:t>Regimento Interno do Senado Fe</w:t>
      </w:r>
      <w:r w:rsidR="00660134">
        <w:t>deral (RISF)</w:t>
      </w:r>
      <w:r>
        <w:t xml:space="preserve">, esta </w:t>
      </w:r>
      <w:r w:rsidR="00927E55">
        <w:t>C</w:t>
      </w:r>
      <w:r>
        <w:t xml:space="preserve">omissão é </w:t>
      </w:r>
      <w:r w:rsidR="00660134">
        <w:t>compete</w:t>
      </w:r>
      <w:r>
        <w:t>nte para</w:t>
      </w:r>
      <w:r w:rsidR="00660134">
        <w:t xml:space="preserve"> opinar sobre matérias </w:t>
      </w:r>
      <w:r>
        <w:t>relativas</w:t>
      </w:r>
      <w:r w:rsidR="00660134">
        <w:t xml:space="preserve"> </w:t>
      </w:r>
      <w:r w:rsidR="00927E55">
        <w:t>a</w:t>
      </w:r>
      <w:r w:rsidR="00660134">
        <w:t xml:space="preserve"> transporte e assuntos</w:t>
      </w:r>
      <w:r>
        <w:t xml:space="preserve"> correlatos, como combustíveis</w:t>
      </w:r>
      <w:r w:rsidR="00660134">
        <w:t>.</w:t>
      </w:r>
    </w:p>
    <w:p w:rsidR="00F642A1" w:rsidRPr="00CA3CE7" w:rsidRDefault="002B6E74" w:rsidP="00F642A1">
      <w:pPr>
        <w:pStyle w:val="06-Pargrafodetexto-CLG"/>
      </w:pPr>
      <w:r>
        <w:t xml:space="preserve">O PLS nº 15, de 2014, está em consonância com os preceitos de constitucionalidade, uma vez que </w:t>
      </w:r>
      <w:r w:rsidR="00927E55">
        <w:t>observa os comandos d</w:t>
      </w:r>
      <w:r>
        <w:t xml:space="preserve">os </w:t>
      </w:r>
      <w:r w:rsidR="00660134">
        <w:t>artigos 24</w:t>
      </w:r>
      <w:r w:rsidR="00153E4A">
        <w:t xml:space="preserve">, inciso I; </w:t>
      </w:r>
      <w:r w:rsidR="00F642A1" w:rsidRPr="00CA3CE7">
        <w:t>48,</w:t>
      </w:r>
      <w:r w:rsidR="00153E4A">
        <w:t xml:space="preserve"> inciso I;</w:t>
      </w:r>
      <w:r w:rsidR="00660134">
        <w:t xml:space="preserve"> </w:t>
      </w:r>
      <w:r w:rsidR="00F642A1" w:rsidRPr="00CA3CE7">
        <w:t>61;</w:t>
      </w:r>
      <w:r w:rsidR="00153E4A">
        <w:t xml:space="preserve"> e 195, inciso I, alínea </w:t>
      </w:r>
      <w:r w:rsidR="00153E4A" w:rsidRPr="00CB4126">
        <w:rPr>
          <w:i/>
        </w:rPr>
        <w:t>b</w:t>
      </w:r>
      <w:r>
        <w:t>, todos da Constituição Federal.</w:t>
      </w:r>
    </w:p>
    <w:p w:rsidR="00C312A8" w:rsidRDefault="002B6E74" w:rsidP="00C312A8">
      <w:pPr>
        <w:pStyle w:val="06-Pargrafodetexto-CLG"/>
      </w:pPr>
      <w:r>
        <w:t xml:space="preserve">Sobre o mérito da matéria, lembro que </w:t>
      </w:r>
      <w:r w:rsidR="00C312A8">
        <w:t>o</w:t>
      </w:r>
      <w:r>
        <w:t xml:space="preserve"> custo do</w:t>
      </w:r>
      <w:r w:rsidR="00C312A8">
        <w:t xml:space="preserve"> transporte de </w:t>
      </w:r>
      <w:r>
        <w:t xml:space="preserve">mercadorias é repassado integralmente ao </w:t>
      </w:r>
      <w:r w:rsidR="00C312A8">
        <w:t xml:space="preserve">preço dos bens consumidos </w:t>
      </w:r>
      <w:r>
        <w:t>no Brasil</w:t>
      </w:r>
      <w:r w:rsidR="00C312A8">
        <w:t xml:space="preserve">. Em algumas regiões do país, </w:t>
      </w:r>
      <w:r>
        <w:t>mesmo havendo</w:t>
      </w:r>
      <w:r w:rsidR="00C312A8">
        <w:t xml:space="preserve"> disponibilidade de modal de transporte hidroviário, o preço final d</w:t>
      </w:r>
      <w:r>
        <w:t xml:space="preserve">os </w:t>
      </w:r>
      <w:r w:rsidR="00C312A8">
        <w:t xml:space="preserve">bens </w:t>
      </w:r>
      <w:r>
        <w:t xml:space="preserve">permanece </w:t>
      </w:r>
      <w:r w:rsidR="00C312A8">
        <w:t>elevado.</w:t>
      </w:r>
    </w:p>
    <w:p w:rsidR="00C312A8" w:rsidRDefault="002B6E74" w:rsidP="00C312A8">
      <w:pPr>
        <w:pStyle w:val="06-Pargrafodetexto-CLG"/>
      </w:pPr>
      <w:r>
        <w:t xml:space="preserve">Para tentar reverter esse cenário, o autor do projeto de lei sugere </w:t>
      </w:r>
      <w:r w:rsidR="00C312A8">
        <w:t>a concessão de benefícios de natureza tributária</w:t>
      </w:r>
      <w:r>
        <w:t xml:space="preserve"> para aumentar</w:t>
      </w:r>
      <w:r w:rsidR="00C312A8">
        <w:t xml:space="preserve"> a utilização </w:t>
      </w:r>
      <w:r>
        <w:t>do modal</w:t>
      </w:r>
      <w:r w:rsidR="00C312A8">
        <w:t xml:space="preserve"> de transporte</w:t>
      </w:r>
      <w:r>
        <w:t xml:space="preserve">. Com isso, caminha para </w:t>
      </w:r>
      <w:r w:rsidR="00C312A8">
        <w:t>a redução do preço de venda de produto ao consumidor e o incentivo ao desenvolvimento da navegação interior.</w:t>
      </w:r>
    </w:p>
    <w:p w:rsidR="00B12EFA" w:rsidRDefault="00B5595A" w:rsidP="00C312A8">
      <w:pPr>
        <w:pStyle w:val="06-Pargrafodetexto-CLG"/>
      </w:pPr>
      <w:r>
        <w:lastRenderedPageBreak/>
        <w:t xml:space="preserve">De maneira similar, </w:t>
      </w:r>
      <w:r w:rsidR="00C312A8">
        <w:t xml:space="preserve">a </w:t>
      </w:r>
      <w:r w:rsidR="00C312A8" w:rsidRPr="00CA3CE7">
        <w:t xml:space="preserve">Lei nº 12.860, de 11 de setembro de 2013, </w:t>
      </w:r>
      <w:r w:rsidR="00C312A8">
        <w:t>concedeu incentivo</w:t>
      </w:r>
      <w:r>
        <w:t xml:space="preserve"> tributário que</w:t>
      </w:r>
      <w:r w:rsidR="00B12EFA">
        <w:t xml:space="preserve"> reduzi</w:t>
      </w:r>
      <w:r>
        <w:t>u</w:t>
      </w:r>
      <w:r w:rsidR="00B12EFA">
        <w:t xml:space="preserve"> a </w:t>
      </w:r>
      <w:r w:rsidR="00B12EFA" w:rsidRPr="00B12EFA">
        <w:t xml:space="preserve">zero as alíquotas da </w:t>
      </w:r>
      <w:r w:rsidR="00CB4126">
        <w:t xml:space="preserve">Contribuição para o </w:t>
      </w:r>
      <w:r w:rsidR="00B12EFA" w:rsidRPr="00B12EFA">
        <w:t>PIS/</w:t>
      </w:r>
      <w:proofErr w:type="spellStart"/>
      <w:proofErr w:type="gramStart"/>
      <w:r w:rsidR="00B12EFA" w:rsidRPr="00B12EFA">
        <w:t>Pasep</w:t>
      </w:r>
      <w:proofErr w:type="spellEnd"/>
      <w:proofErr w:type="gramEnd"/>
      <w:r w:rsidR="00B12EFA" w:rsidRPr="00B12EFA">
        <w:t xml:space="preserve"> e da </w:t>
      </w:r>
      <w:proofErr w:type="spellStart"/>
      <w:r w:rsidR="00B12EFA" w:rsidRPr="00B12EFA">
        <w:t>C</w:t>
      </w:r>
      <w:r w:rsidR="002D106A">
        <w:t>ofins</w:t>
      </w:r>
      <w:proofErr w:type="spellEnd"/>
      <w:r w:rsidR="00B12EFA" w:rsidRPr="00B12EFA">
        <w:t xml:space="preserve"> incidentes sobre a receita decorrente da prestação de serviços de transporte público coletivo municipal de passageiros, por meio rodoviário, metroviário, ferroviário e aquaviário</w:t>
      </w:r>
      <w:r w:rsidR="00B12EFA">
        <w:t>.</w:t>
      </w:r>
    </w:p>
    <w:p w:rsidR="00C312A8" w:rsidRDefault="00B12EFA" w:rsidP="00A77483">
      <w:pPr>
        <w:pStyle w:val="06-Pargrafodetexto-CLG"/>
      </w:pPr>
      <w:r>
        <w:t>A matéria contida no PLS nº 15, de 2014, é tão meritória quanto aquela da Lei</w:t>
      </w:r>
      <w:r w:rsidR="00CE19BF">
        <w:t xml:space="preserve"> nº</w:t>
      </w:r>
      <w:r>
        <w:t xml:space="preserve"> 12.860, de 2013, merecendo, portanto, o mesmo tratamento </w:t>
      </w:r>
      <w:r w:rsidR="00CE19BF">
        <w:t>por parte do Congresso Nacional</w:t>
      </w:r>
      <w:r>
        <w:t>.</w:t>
      </w:r>
    </w:p>
    <w:p w:rsidR="00BD5D7B" w:rsidRDefault="00BD5D7B" w:rsidP="00A77483">
      <w:pPr>
        <w:pStyle w:val="05-Subttulo-CLG"/>
      </w:pPr>
      <w:r>
        <w:t>III – VOTO</w:t>
      </w:r>
    </w:p>
    <w:p w:rsidR="0048752D" w:rsidRPr="00433B79" w:rsidRDefault="00B5595A" w:rsidP="0048752D">
      <w:pPr>
        <w:pStyle w:val="06-Pargrafodetexto-CLG"/>
      </w:pPr>
      <w:r>
        <w:t xml:space="preserve">Pelo exposto, voto </w:t>
      </w:r>
      <w:r w:rsidR="00CE19BF">
        <w:t>pel</w:t>
      </w:r>
      <w:r w:rsidR="0048752D">
        <w:t xml:space="preserve">a aprovação do Projeto de Lei do Senado nº </w:t>
      </w:r>
      <w:r w:rsidR="00B12EFA">
        <w:t>15</w:t>
      </w:r>
      <w:r w:rsidR="0048752D">
        <w:t>, de 2014.</w:t>
      </w:r>
    </w:p>
    <w:p w:rsidR="00BD5D7B" w:rsidRDefault="00BD5D7B" w:rsidP="00BD5D7B">
      <w:pPr>
        <w:pStyle w:val="10-Local-CLG"/>
      </w:pPr>
      <w:r>
        <w:t>Sala da Comissão,</w:t>
      </w:r>
      <w:r w:rsidR="0087785C">
        <w:t xml:space="preserve"> 12 de agosto de </w:t>
      </w:r>
      <w:proofErr w:type="gramStart"/>
      <w:r w:rsidR="0087785C">
        <w:t>2015</w:t>
      </w:r>
      <w:proofErr w:type="gramEnd"/>
    </w:p>
    <w:p w:rsidR="00BD5D7B" w:rsidRPr="00724990" w:rsidRDefault="0087785C" w:rsidP="0087785C">
      <w:pPr>
        <w:pStyle w:val="11-Assinaturas-CLG"/>
        <w:ind w:left="0"/>
        <w:jc w:val="right"/>
      </w:pPr>
      <w:r>
        <w:t>Senador Garibaldi Alves Filho</w:t>
      </w:r>
      <w:r w:rsidR="00BD5D7B">
        <w:t xml:space="preserve">, </w:t>
      </w:r>
      <w:proofErr w:type="gramStart"/>
      <w:r w:rsidR="00BD5D7B">
        <w:t>Presidente</w:t>
      </w:r>
      <w:proofErr w:type="gramEnd"/>
    </w:p>
    <w:p w:rsidR="00BD5D7B" w:rsidRDefault="0087785C" w:rsidP="0087785C">
      <w:pPr>
        <w:pStyle w:val="11-Assinaturas-CLG"/>
        <w:ind w:left="0"/>
        <w:jc w:val="right"/>
      </w:pPr>
      <w:r>
        <w:t>Senador Wellington Fagundes</w:t>
      </w:r>
      <w:r w:rsidR="00BD5D7B">
        <w:t xml:space="preserve">, </w:t>
      </w:r>
      <w:proofErr w:type="gramStart"/>
      <w:r w:rsidR="00BD5D7B">
        <w:t>Relator</w:t>
      </w:r>
      <w:proofErr w:type="gramEnd"/>
    </w:p>
    <w:sectPr w:rsidR="00BD5D7B" w:rsidSect="00C76B62">
      <w:headerReference w:type="even" r:id="rId6"/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88" w:rsidRDefault="00913E88" w:rsidP="00BD5D7B">
      <w:pPr>
        <w:spacing w:after="0" w:line="240" w:lineRule="auto"/>
      </w:pPr>
      <w:r>
        <w:separator/>
      </w:r>
    </w:p>
  </w:endnote>
  <w:endnote w:type="continuationSeparator" w:id="0">
    <w:p w:rsidR="00913E88" w:rsidRDefault="00913E88" w:rsidP="00B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59" w:rsidRDefault="00C020F5">
    <w:pPr>
      <w:pStyle w:val="Rodap"/>
      <w:rPr>
        <w:i/>
        <w:sz w:val="18"/>
      </w:rPr>
    </w:pPr>
    <w:r>
      <w:rPr>
        <w:i/>
        <w:sz w:val="18"/>
        <w:szCs w:val="18"/>
      </w:rPr>
      <w:t>ia</w:t>
    </w:r>
    <w:r w:rsidR="00CA3CE7">
      <w:rPr>
        <w:i/>
        <w:sz w:val="18"/>
        <w:szCs w:val="18"/>
      </w:rPr>
      <w:t>201</w:t>
    </w:r>
    <w:r>
      <w:rPr>
        <w:i/>
        <w:sz w:val="18"/>
        <w:szCs w:val="18"/>
      </w:rPr>
      <w:t>5</w:t>
    </w:r>
    <w:r w:rsidR="00CA3CE7">
      <w:rPr>
        <w:i/>
        <w:sz w:val="18"/>
        <w:szCs w:val="18"/>
      </w:rPr>
      <w:t>-0</w:t>
    </w:r>
    <w:r w:rsidR="00B5595A">
      <w:rPr>
        <w:i/>
        <w:sz w:val="18"/>
        <w:szCs w:val="18"/>
      </w:rPr>
      <w:t>4895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88" w:rsidRDefault="00913E88" w:rsidP="00BD5D7B">
      <w:pPr>
        <w:spacing w:after="0" w:line="240" w:lineRule="auto"/>
      </w:pPr>
      <w:r>
        <w:separator/>
      </w:r>
    </w:p>
  </w:footnote>
  <w:footnote w:type="continuationSeparator" w:id="0">
    <w:p w:rsidR="00913E88" w:rsidRDefault="00913E88" w:rsidP="00BD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59" w:rsidRDefault="00337DCE" w:rsidP="00BD5D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E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6E59" w:rsidRDefault="00406E59">
    <w:pPr>
      <w:pStyle w:val="Cabealho"/>
      <w:ind w:right="360"/>
    </w:pPr>
  </w:p>
  <w:p w:rsidR="00406E59" w:rsidRDefault="00406E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59" w:rsidRDefault="00337DCE" w:rsidP="00BD5D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E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785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06E59" w:rsidRDefault="00406E59" w:rsidP="005910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7B"/>
    <w:rsid w:val="000D4212"/>
    <w:rsid w:val="000F390E"/>
    <w:rsid w:val="001441E9"/>
    <w:rsid w:val="00153E4A"/>
    <w:rsid w:val="00183721"/>
    <w:rsid w:val="001942D1"/>
    <w:rsid w:val="001963EA"/>
    <w:rsid w:val="001C75A2"/>
    <w:rsid w:val="002B6E74"/>
    <w:rsid w:val="002D106A"/>
    <w:rsid w:val="002D5C65"/>
    <w:rsid w:val="00337DCE"/>
    <w:rsid w:val="003526F9"/>
    <w:rsid w:val="00376C44"/>
    <w:rsid w:val="003F46BF"/>
    <w:rsid w:val="00406E59"/>
    <w:rsid w:val="00456088"/>
    <w:rsid w:val="0048752D"/>
    <w:rsid w:val="0050690D"/>
    <w:rsid w:val="00560DA0"/>
    <w:rsid w:val="005910C9"/>
    <w:rsid w:val="00596246"/>
    <w:rsid w:val="005B53FC"/>
    <w:rsid w:val="005C3F11"/>
    <w:rsid w:val="005D1169"/>
    <w:rsid w:val="005F16AA"/>
    <w:rsid w:val="00605145"/>
    <w:rsid w:val="00611044"/>
    <w:rsid w:val="00660134"/>
    <w:rsid w:val="0066025E"/>
    <w:rsid w:val="006B6AF6"/>
    <w:rsid w:val="006F54BC"/>
    <w:rsid w:val="00713DCA"/>
    <w:rsid w:val="0072281A"/>
    <w:rsid w:val="00744727"/>
    <w:rsid w:val="00744B02"/>
    <w:rsid w:val="007E0325"/>
    <w:rsid w:val="00830FE5"/>
    <w:rsid w:val="008556BB"/>
    <w:rsid w:val="00876D62"/>
    <w:rsid w:val="0087785C"/>
    <w:rsid w:val="008D306C"/>
    <w:rsid w:val="009031C3"/>
    <w:rsid w:val="00912D6B"/>
    <w:rsid w:val="00913E88"/>
    <w:rsid w:val="00927E55"/>
    <w:rsid w:val="00944705"/>
    <w:rsid w:val="00952368"/>
    <w:rsid w:val="009C4927"/>
    <w:rsid w:val="009C7C95"/>
    <w:rsid w:val="00A207DB"/>
    <w:rsid w:val="00A435D3"/>
    <w:rsid w:val="00A50816"/>
    <w:rsid w:val="00A629B6"/>
    <w:rsid w:val="00A77483"/>
    <w:rsid w:val="00AC34A7"/>
    <w:rsid w:val="00B12EFA"/>
    <w:rsid w:val="00B23F1B"/>
    <w:rsid w:val="00B43FAB"/>
    <w:rsid w:val="00B5595A"/>
    <w:rsid w:val="00B61344"/>
    <w:rsid w:val="00B6566F"/>
    <w:rsid w:val="00BB7AA3"/>
    <w:rsid w:val="00BD5D7B"/>
    <w:rsid w:val="00C020F5"/>
    <w:rsid w:val="00C312A8"/>
    <w:rsid w:val="00C420AE"/>
    <w:rsid w:val="00C76B62"/>
    <w:rsid w:val="00CA3CE7"/>
    <w:rsid w:val="00CB4126"/>
    <w:rsid w:val="00CB5382"/>
    <w:rsid w:val="00CC5F90"/>
    <w:rsid w:val="00CE00EC"/>
    <w:rsid w:val="00CE19BF"/>
    <w:rsid w:val="00D171B6"/>
    <w:rsid w:val="00D4400C"/>
    <w:rsid w:val="00D53519"/>
    <w:rsid w:val="00DB254F"/>
    <w:rsid w:val="00DE346B"/>
    <w:rsid w:val="00E15415"/>
    <w:rsid w:val="00E36D79"/>
    <w:rsid w:val="00E75E44"/>
    <w:rsid w:val="00EA2F49"/>
    <w:rsid w:val="00EA3FB7"/>
    <w:rsid w:val="00ED50D1"/>
    <w:rsid w:val="00EE1340"/>
    <w:rsid w:val="00EF3B18"/>
    <w:rsid w:val="00F642A1"/>
    <w:rsid w:val="00F935F8"/>
    <w:rsid w:val="00FA3C69"/>
    <w:rsid w:val="00FC5418"/>
    <w:rsid w:val="00FE19E4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D5D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BD5D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BD5D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semiHidden/>
    <w:rsid w:val="00BD5D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BD5D7B"/>
  </w:style>
  <w:style w:type="paragraph" w:customStyle="1" w:styleId="01-Minuta-CLG">
    <w:name w:val="01 - Minuta - CLG"/>
    <w:link w:val="01-Minuta-CLGChar"/>
    <w:rsid w:val="00BD5D7B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BD5D7B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BD5D7B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BD5D7B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BD5D7B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BD5D7B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BD5D7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link w:val="01-Minuta-CLG"/>
    <w:rsid w:val="00BD5D7B"/>
    <w:rPr>
      <w:rFonts w:ascii="Times New Roman" w:eastAsia="Times New Roman" w:hAnsi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BD5D7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BD5D7B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link w:val="02-TtuloPrincipal-CLG"/>
    <w:rsid w:val="00BD5D7B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rsid w:val="00BD5D7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rsid w:val="00BD5D7B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rsid w:val="00BD5D7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rsid w:val="00BD5D7B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rsid w:val="00BD5D7B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7-Citaolegal-CLG">
    <w:name w:val="07 - Citação legal - CLG"/>
    <w:rsid w:val="00BD5D7B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BD5D7B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BD5D7B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customStyle="1" w:styleId="texto2">
    <w:name w:val="texto2"/>
    <w:basedOn w:val="Normal"/>
    <w:rsid w:val="00EF3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F3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3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05-Pargrafodetexto-CLG">
    <w:name w:val="05 - Parágrafo de texto - CLG"/>
    <w:link w:val="05-Pargrafodetexto-CLGChar"/>
    <w:rsid w:val="00CC5F90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5-Pargrafodetexto-CLGChar">
    <w:name w:val="05 - Parágrafo de texto - CLG Char"/>
    <w:link w:val="05-Pargrafodetexto-CLG"/>
    <w:rsid w:val="00CC5F90"/>
    <w:rPr>
      <w:rFonts w:ascii="Times New Roman" w:eastAsia="Times New Roman" w:hAnsi="Times New Roman"/>
      <w:sz w:val="28"/>
      <w:lang w:bidi="ar-SA"/>
    </w:rPr>
  </w:style>
  <w:style w:type="character" w:customStyle="1" w:styleId="apple-converted-space">
    <w:name w:val="apple-converted-space"/>
    <w:basedOn w:val="Fontepargpadro"/>
    <w:rsid w:val="00876D62"/>
  </w:style>
  <w:style w:type="character" w:styleId="Refdecomentrio">
    <w:name w:val="annotation reference"/>
    <w:uiPriority w:val="99"/>
    <w:semiHidden/>
    <w:unhideWhenUsed/>
    <w:rsid w:val="00EA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F4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A2F4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F4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A2F49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2F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lcolares</dc:creator>
  <cp:lastModifiedBy>adrianap</cp:lastModifiedBy>
  <cp:revision>3</cp:revision>
  <dcterms:created xsi:type="dcterms:W3CDTF">2015-06-15T18:46:00Z</dcterms:created>
  <dcterms:modified xsi:type="dcterms:W3CDTF">2015-08-12T14:48:00Z</dcterms:modified>
</cp:coreProperties>
</file>