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457" w:rsidRDefault="000F4457" w:rsidP="00334403">
      <w:pPr>
        <w:pStyle w:val="Ttulo1"/>
        <w:spacing w:after="120"/>
        <w:jc w:val="center"/>
        <w:rPr>
          <w:b/>
          <w:sz w:val="32"/>
        </w:rPr>
      </w:pPr>
      <w:r>
        <w:rPr>
          <w:b/>
          <w:sz w:val="32"/>
        </w:rPr>
        <w:t xml:space="preserve">EMENDA Nº         – </w:t>
      </w:r>
      <w:r w:rsidR="007F022D">
        <w:rPr>
          <w:b/>
          <w:sz w:val="32"/>
        </w:rPr>
        <w:t>CCJ</w:t>
      </w:r>
    </w:p>
    <w:p w:rsidR="000F4457" w:rsidRPr="00334403" w:rsidRDefault="000F4457" w:rsidP="00334403">
      <w:pPr>
        <w:spacing w:after="720"/>
        <w:jc w:val="center"/>
        <w:rPr>
          <w:bCs/>
          <w:sz w:val="24"/>
          <w:szCs w:val="24"/>
        </w:rPr>
      </w:pPr>
      <w:r w:rsidRPr="00334403">
        <w:rPr>
          <w:bCs/>
          <w:sz w:val="24"/>
          <w:szCs w:val="24"/>
        </w:rPr>
        <w:t>(</w:t>
      </w:r>
      <w:r w:rsidR="00334403" w:rsidRPr="00334403">
        <w:rPr>
          <w:b/>
          <w:sz w:val="24"/>
          <w:szCs w:val="24"/>
        </w:rPr>
        <w:t>Ao Substitutivo do PROJETO DE LEI DO SENADO Nº 281, 2012</w:t>
      </w:r>
      <w:proofErr w:type="gramStart"/>
      <w:r w:rsidRPr="00334403">
        <w:rPr>
          <w:bCs/>
          <w:sz w:val="24"/>
          <w:szCs w:val="24"/>
        </w:rPr>
        <w:t>)</w:t>
      </w:r>
      <w:proofErr w:type="gramEnd"/>
    </w:p>
    <w:p w:rsidR="00334403" w:rsidRPr="00334403" w:rsidRDefault="00334403" w:rsidP="00334403">
      <w:pPr>
        <w:spacing w:after="240"/>
        <w:ind w:firstLine="993"/>
        <w:jc w:val="both"/>
        <w:rPr>
          <w:sz w:val="24"/>
          <w:szCs w:val="24"/>
        </w:rPr>
      </w:pPr>
      <w:r w:rsidRPr="00334403">
        <w:rPr>
          <w:sz w:val="24"/>
          <w:szCs w:val="24"/>
        </w:rPr>
        <w:t>Dê-se a seguinte redação ao §7º do art. 44-F e ao art. 72-A propostos pelo Projeto de Lei do Senado nº 281, de 2012, à Lei nº 8.078, de 11 de setembro de 1990:</w:t>
      </w:r>
    </w:p>
    <w:p w:rsidR="00334403" w:rsidRPr="00334403" w:rsidRDefault="00334403" w:rsidP="00334403">
      <w:pPr>
        <w:spacing w:line="276" w:lineRule="auto"/>
        <w:ind w:left="2268"/>
        <w:jc w:val="both"/>
        <w:rPr>
          <w:i/>
          <w:sz w:val="24"/>
          <w:szCs w:val="24"/>
        </w:rPr>
      </w:pPr>
      <w:r w:rsidRPr="00334403">
        <w:rPr>
          <w:i/>
          <w:sz w:val="24"/>
          <w:szCs w:val="24"/>
        </w:rPr>
        <w:t>“Art. 44-F</w:t>
      </w:r>
      <w:proofErr w:type="gramStart"/>
      <w:r w:rsidRPr="00334403">
        <w:rPr>
          <w:i/>
          <w:sz w:val="24"/>
          <w:szCs w:val="24"/>
        </w:rPr>
        <w:t>..............................</w:t>
      </w:r>
      <w:r>
        <w:rPr>
          <w:i/>
          <w:sz w:val="24"/>
          <w:szCs w:val="24"/>
        </w:rPr>
        <w:t>.............................................................</w:t>
      </w:r>
      <w:proofErr w:type="gramEnd"/>
    </w:p>
    <w:p w:rsidR="00334403" w:rsidRPr="00334403" w:rsidRDefault="00334403" w:rsidP="00334403">
      <w:pPr>
        <w:spacing w:line="276" w:lineRule="auto"/>
        <w:ind w:left="2268"/>
        <w:jc w:val="both"/>
        <w:rPr>
          <w:i/>
          <w:sz w:val="24"/>
          <w:szCs w:val="24"/>
        </w:rPr>
      </w:pPr>
      <w:proofErr w:type="gramStart"/>
      <w:r w:rsidRPr="00334403">
        <w:rPr>
          <w:i/>
          <w:sz w:val="24"/>
          <w:szCs w:val="24"/>
        </w:rPr>
        <w:t>..........................................</w:t>
      </w:r>
      <w:proofErr w:type="gramEnd"/>
    </w:p>
    <w:p w:rsidR="00334403" w:rsidRPr="00334403" w:rsidRDefault="00334403" w:rsidP="00334403">
      <w:pPr>
        <w:spacing w:line="276" w:lineRule="auto"/>
        <w:ind w:left="2268"/>
        <w:jc w:val="both"/>
        <w:rPr>
          <w:i/>
          <w:sz w:val="24"/>
          <w:szCs w:val="24"/>
        </w:rPr>
      </w:pPr>
      <w:r w:rsidRPr="00334403">
        <w:rPr>
          <w:i/>
          <w:sz w:val="24"/>
          <w:szCs w:val="24"/>
        </w:rPr>
        <w:t xml:space="preserve">§ 7º - A vedação prevista no inciso II, do §5º, não se aplica aos fornecedores que integrem um mesmo conglomerado econômico </w:t>
      </w:r>
      <w:r w:rsidRPr="00334403">
        <w:rPr>
          <w:b/>
          <w:i/>
          <w:sz w:val="24"/>
          <w:szCs w:val="24"/>
        </w:rPr>
        <w:t>ou a empresas com as quais qualquer sociedade que o integre mantenha relação de prestação de serviços</w:t>
      </w:r>
      <w:r w:rsidRPr="00334403">
        <w:rPr>
          <w:i/>
          <w:sz w:val="24"/>
          <w:szCs w:val="24"/>
        </w:rPr>
        <w:t>.” (NR</w:t>
      </w:r>
      <w:proofErr w:type="gramStart"/>
      <w:r w:rsidRPr="00334403">
        <w:rPr>
          <w:i/>
          <w:sz w:val="24"/>
          <w:szCs w:val="24"/>
        </w:rPr>
        <w:t>)</w:t>
      </w:r>
      <w:proofErr w:type="gramEnd"/>
    </w:p>
    <w:p w:rsidR="00334403" w:rsidRPr="00334403" w:rsidRDefault="00334403" w:rsidP="00334403">
      <w:pPr>
        <w:spacing w:line="276" w:lineRule="auto"/>
        <w:ind w:left="2268"/>
        <w:jc w:val="both"/>
        <w:rPr>
          <w:sz w:val="24"/>
          <w:szCs w:val="24"/>
        </w:rPr>
      </w:pPr>
      <w:proofErr w:type="gramStart"/>
      <w:r w:rsidRPr="00334403">
        <w:rPr>
          <w:i/>
          <w:sz w:val="24"/>
          <w:szCs w:val="24"/>
        </w:rPr>
        <w:t>..........................................................</w:t>
      </w:r>
      <w:r>
        <w:rPr>
          <w:i/>
          <w:sz w:val="24"/>
          <w:szCs w:val="24"/>
        </w:rPr>
        <w:t>..................................................</w:t>
      </w:r>
      <w:proofErr w:type="gramEnd"/>
    </w:p>
    <w:p w:rsidR="00334403" w:rsidRPr="00334403" w:rsidRDefault="00334403" w:rsidP="00334403">
      <w:pPr>
        <w:spacing w:line="276" w:lineRule="auto"/>
        <w:ind w:left="2268"/>
        <w:jc w:val="both"/>
        <w:rPr>
          <w:i/>
          <w:sz w:val="24"/>
          <w:szCs w:val="24"/>
        </w:rPr>
      </w:pPr>
      <w:r w:rsidRPr="00334403">
        <w:rPr>
          <w:i/>
          <w:sz w:val="24"/>
          <w:szCs w:val="24"/>
        </w:rPr>
        <w:t>“Art. 72-A</w:t>
      </w:r>
      <w:proofErr w:type="gramStart"/>
      <w:r w:rsidRPr="00334403">
        <w:rPr>
          <w:i/>
          <w:sz w:val="24"/>
          <w:szCs w:val="24"/>
        </w:rPr>
        <w:t>. ...</w:t>
      </w:r>
      <w:proofErr w:type="gramEnd"/>
      <w:r w:rsidRPr="00334403">
        <w:rPr>
          <w:i/>
          <w:sz w:val="24"/>
          <w:szCs w:val="24"/>
        </w:rPr>
        <w:t>..............................</w:t>
      </w:r>
      <w:r>
        <w:rPr>
          <w:i/>
          <w:sz w:val="24"/>
          <w:szCs w:val="24"/>
        </w:rPr>
        <w:t>........................................................</w:t>
      </w:r>
    </w:p>
    <w:p w:rsidR="00334403" w:rsidRPr="00334403" w:rsidRDefault="00334403" w:rsidP="00334403">
      <w:pPr>
        <w:spacing w:line="276" w:lineRule="auto"/>
        <w:ind w:left="2268"/>
        <w:jc w:val="both"/>
        <w:rPr>
          <w:i/>
          <w:sz w:val="24"/>
          <w:szCs w:val="24"/>
        </w:rPr>
      </w:pPr>
      <w:proofErr w:type="gramStart"/>
      <w:r w:rsidRPr="00334403">
        <w:rPr>
          <w:i/>
          <w:sz w:val="24"/>
          <w:szCs w:val="24"/>
        </w:rPr>
        <w:t>..........................</w:t>
      </w:r>
      <w:r w:rsidR="00396966">
        <w:rPr>
          <w:i/>
          <w:sz w:val="24"/>
          <w:szCs w:val="24"/>
        </w:rPr>
        <w:t>........</w:t>
      </w:r>
      <w:r w:rsidRPr="00334403">
        <w:rPr>
          <w:i/>
          <w:sz w:val="24"/>
          <w:szCs w:val="24"/>
        </w:rPr>
        <w:t>.......</w:t>
      </w:r>
      <w:proofErr w:type="gramEnd"/>
    </w:p>
    <w:p w:rsidR="00334403" w:rsidRPr="00334403" w:rsidRDefault="00334403" w:rsidP="00334403">
      <w:pPr>
        <w:spacing w:after="360" w:line="276" w:lineRule="auto"/>
        <w:ind w:left="2268"/>
        <w:jc w:val="both"/>
        <w:rPr>
          <w:i/>
          <w:sz w:val="24"/>
          <w:szCs w:val="24"/>
        </w:rPr>
      </w:pPr>
      <w:r w:rsidRPr="00334403">
        <w:rPr>
          <w:i/>
          <w:sz w:val="24"/>
          <w:szCs w:val="24"/>
        </w:rPr>
        <w:t xml:space="preserve"> </w:t>
      </w:r>
      <w:proofErr w:type="gramStart"/>
      <w:r w:rsidRPr="00334403">
        <w:rPr>
          <w:i/>
          <w:sz w:val="24"/>
          <w:szCs w:val="24"/>
        </w:rPr>
        <w:t xml:space="preserve">I - entre fornecedores que integrem um mesmo conglomerado econômico </w:t>
      </w:r>
      <w:r w:rsidRPr="00334403">
        <w:rPr>
          <w:b/>
          <w:i/>
          <w:sz w:val="24"/>
          <w:szCs w:val="24"/>
        </w:rPr>
        <w:t>e as empresas com as quais qualquer sociedade que o integre mantenha relação de prestação de serviços.”</w:t>
      </w:r>
      <w:proofErr w:type="gramEnd"/>
      <w:r w:rsidRPr="00334403">
        <w:rPr>
          <w:i/>
          <w:sz w:val="24"/>
          <w:szCs w:val="24"/>
        </w:rPr>
        <w:t xml:space="preserve"> </w:t>
      </w:r>
      <w:r w:rsidRPr="00334403">
        <w:rPr>
          <w:sz w:val="24"/>
          <w:szCs w:val="24"/>
        </w:rPr>
        <w:t>(NR)</w:t>
      </w:r>
    </w:p>
    <w:p w:rsidR="00334403" w:rsidRPr="00334403" w:rsidRDefault="00334403" w:rsidP="00334403">
      <w:pPr>
        <w:spacing w:after="240"/>
        <w:jc w:val="center"/>
        <w:rPr>
          <w:b/>
          <w:sz w:val="24"/>
          <w:szCs w:val="24"/>
        </w:rPr>
      </w:pPr>
      <w:r w:rsidRPr="00334403">
        <w:rPr>
          <w:b/>
          <w:sz w:val="24"/>
          <w:szCs w:val="24"/>
        </w:rPr>
        <w:t>JUSTIFICATIVA</w:t>
      </w:r>
    </w:p>
    <w:p w:rsidR="00334403" w:rsidRPr="00334403" w:rsidRDefault="00334403" w:rsidP="00334403">
      <w:pPr>
        <w:spacing w:line="276" w:lineRule="auto"/>
        <w:ind w:firstLine="993"/>
        <w:jc w:val="both"/>
        <w:rPr>
          <w:sz w:val="24"/>
          <w:szCs w:val="24"/>
        </w:rPr>
      </w:pPr>
      <w:r w:rsidRPr="00334403">
        <w:rPr>
          <w:sz w:val="24"/>
          <w:szCs w:val="24"/>
        </w:rPr>
        <w:t xml:space="preserve">A atuação no mercado de consumo de grandes empresas se opera de forma complexa, de modo que o exercício da atividade econômica não está restrito a atuação isolada de uma única empresa ou um único fornecedor, mas sim, em muitas situações de várias empresas pertencentes ao mesmo conglomerado econômico. </w:t>
      </w:r>
    </w:p>
    <w:p w:rsidR="00334403" w:rsidRPr="00334403" w:rsidRDefault="00334403" w:rsidP="00334403">
      <w:pPr>
        <w:spacing w:line="276" w:lineRule="auto"/>
        <w:ind w:firstLine="993"/>
        <w:jc w:val="both"/>
        <w:rPr>
          <w:sz w:val="24"/>
          <w:szCs w:val="24"/>
        </w:rPr>
      </w:pPr>
      <w:r w:rsidRPr="00334403">
        <w:rPr>
          <w:sz w:val="24"/>
          <w:szCs w:val="24"/>
        </w:rPr>
        <w:t xml:space="preserve">Neste contexto, observa-se que o parágrafo 1º do artigo 44-E não prevê esta particularidade, de modo que a ausência de disciplina legislativa neste sentido poderá produzir incertezas quanto </w:t>
      </w:r>
      <w:proofErr w:type="gramStart"/>
      <w:r w:rsidRPr="00334403">
        <w:rPr>
          <w:sz w:val="24"/>
          <w:szCs w:val="24"/>
        </w:rPr>
        <w:t>a</w:t>
      </w:r>
      <w:proofErr w:type="gramEnd"/>
      <w:r w:rsidRPr="00334403">
        <w:rPr>
          <w:sz w:val="24"/>
          <w:szCs w:val="24"/>
        </w:rPr>
        <w:t xml:space="preserve"> viabilidade do encaminhamento de mensagem eletrônica pelas empresas pertencentes ao mesmo conglomerado econômico.</w:t>
      </w:r>
    </w:p>
    <w:p w:rsidR="00334403" w:rsidRPr="00334403" w:rsidRDefault="00334403" w:rsidP="00334403">
      <w:pPr>
        <w:spacing w:line="276" w:lineRule="auto"/>
        <w:ind w:firstLine="993"/>
        <w:jc w:val="both"/>
        <w:rPr>
          <w:sz w:val="24"/>
          <w:szCs w:val="24"/>
        </w:rPr>
      </w:pPr>
      <w:r w:rsidRPr="00334403">
        <w:rPr>
          <w:sz w:val="24"/>
          <w:szCs w:val="24"/>
        </w:rPr>
        <w:t xml:space="preserve">Se mantida a redação tal como aprovada pela Comissão Especial, haverá criminalização do compartilhamento e da cessão de dados sem consentimento informado ou autorização expressa do titular. Essa vedação para serviços relacionados terá alto impacto nos custos operacionais, serviços que visam conferir mais informação de mercado aos fornecedores. Além de inserir maior insegurança jurídica nas atividades econômicas, esse acréscimo de custo certamente será repassado aos consumidores, o que põe em cheque qualquer benefício que a manutenção da redação atual possa trazer. </w:t>
      </w:r>
    </w:p>
    <w:p w:rsidR="00334403" w:rsidRPr="00334403" w:rsidRDefault="00334403" w:rsidP="00334403">
      <w:pPr>
        <w:spacing w:line="276" w:lineRule="auto"/>
        <w:ind w:firstLine="993"/>
        <w:jc w:val="both"/>
        <w:rPr>
          <w:sz w:val="24"/>
          <w:szCs w:val="24"/>
        </w:rPr>
      </w:pPr>
      <w:r w:rsidRPr="00334403">
        <w:rPr>
          <w:sz w:val="24"/>
          <w:szCs w:val="24"/>
        </w:rPr>
        <w:lastRenderedPageBreak/>
        <w:t xml:space="preserve">Quanto à alteração do inciso I do parágrafo único ao art. 72-A, esse acréscimo necessário se justifica na atuação no mercado de consumo de grandes empresas: há grande complexidade de relações, de modo que o exercício da atividade econômica não está restrito a atuação isolada de uma única empresa ou um único fornecedor, mas sim, em muitas situações de várias empresas pertencentes ao mesmo conglomerado econômico. </w:t>
      </w:r>
    </w:p>
    <w:p w:rsidR="00334403" w:rsidRPr="00334403" w:rsidRDefault="00334403" w:rsidP="00334403">
      <w:pPr>
        <w:spacing w:line="276" w:lineRule="auto"/>
        <w:ind w:firstLine="993"/>
        <w:jc w:val="both"/>
        <w:rPr>
          <w:sz w:val="24"/>
          <w:szCs w:val="24"/>
        </w:rPr>
      </w:pPr>
      <w:r w:rsidRPr="00334403">
        <w:rPr>
          <w:sz w:val="24"/>
          <w:szCs w:val="24"/>
        </w:rPr>
        <w:t xml:space="preserve">Neste contexto, observa-se que o § 1º do artigo 44-F não prevê esta particularidade, de modo que a ausência de disciplina legislativa neste sentido poderá produzir incertezas quanto </w:t>
      </w:r>
      <w:proofErr w:type="gramStart"/>
      <w:r w:rsidRPr="00334403">
        <w:rPr>
          <w:sz w:val="24"/>
          <w:szCs w:val="24"/>
        </w:rPr>
        <w:t>a</w:t>
      </w:r>
      <w:proofErr w:type="gramEnd"/>
      <w:r w:rsidRPr="00334403">
        <w:rPr>
          <w:sz w:val="24"/>
          <w:szCs w:val="24"/>
        </w:rPr>
        <w:t xml:space="preserve"> viabilidade do encaminhamento de mensagem eletrônica pelas empresas pertencentes ao mesmo conglomerado econômico.</w:t>
      </w:r>
    </w:p>
    <w:p w:rsidR="00334403" w:rsidRPr="00334403" w:rsidRDefault="00334403" w:rsidP="00334403">
      <w:pPr>
        <w:spacing w:line="276" w:lineRule="auto"/>
        <w:ind w:firstLine="993"/>
        <w:jc w:val="both"/>
        <w:rPr>
          <w:sz w:val="24"/>
          <w:szCs w:val="24"/>
        </w:rPr>
      </w:pPr>
      <w:r w:rsidRPr="00334403">
        <w:rPr>
          <w:sz w:val="24"/>
          <w:szCs w:val="24"/>
        </w:rPr>
        <w:t>Pelo exposto, em prol do não aumento dos preços ao consumidor e da segurança jurídica, é fundamental a aprovação da matéria para o respeito aos direitos fundamentais assegurados na Constituição.</w:t>
      </w:r>
    </w:p>
    <w:p w:rsidR="009E7F17" w:rsidRPr="00FE2BF2" w:rsidRDefault="009E7F17" w:rsidP="00FE2BF2">
      <w:pPr>
        <w:pStyle w:val="Corpodetexto"/>
        <w:spacing w:after="240" w:line="276" w:lineRule="auto"/>
        <w:ind w:firstLine="709"/>
        <w:rPr>
          <w:spacing w:val="-4"/>
          <w:sz w:val="24"/>
          <w:szCs w:val="24"/>
        </w:rPr>
      </w:pPr>
    </w:p>
    <w:p w:rsidR="00075B67" w:rsidRPr="00FE2BF2" w:rsidRDefault="00075B67" w:rsidP="005E0D41">
      <w:pPr>
        <w:pStyle w:val="Ttulo"/>
        <w:jc w:val="both"/>
        <w:rPr>
          <w:b w:val="0"/>
          <w:sz w:val="24"/>
          <w:szCs w:val="24"/>
        </w:rPr>
      </w:pPr>
    </w:p>
    <w:p w:rsidR="000F4457" w:rsidRDefault="000F4457" w:rsidP="00396966">
      <w:pPr>
        <w:pStyle w:val="Ttulo"/>
        <w:spacing w:after="360"/>
        <w:ind w:firstLine="993"/>
        <w:jc w:val="left"/>
        <w:rPr>
          <w:b w:val="0"/>
          <w:sz w:val="24"/>
          <w:szCs w:val="24"/>
        </w:rPr>
      </w:pPr>
      <w:r w:rsidRPr="00FE2BF2">
        <w:rPr>
          <w:b w:val="0"/>
          <w:sz w:val="24"/>
          <w:szCs w:val="24"/>
        </w:rPr>
        <w:t>Sala da</w:t>
      </w:r>
      <w:r w:rsidR="00347F92" w:rsidRPr="00FE2BF2">
        <w:rPr>
          <w:b w:val="0"/>
          <w:sz w:val="24"/>
          <w:szCs w:val="24"/>
        </w:rPr>
        <w:t>s Sessões,</w:t>
      </w:r>
    </w:p>
    <w:p w:rsidR="00647ACC" w:rsidRPr="00FE2BF2" w:rsidRDefault="00647ACC" w:rsidP="009E7F17">
      <w:pPr>
        <w:pStyle w:val="Ttulo"/>
        <w:spacing w:after="360"/>
        <w:rPr>
          <w:b w:val="0"/>
          <w:sz w:val="24"/>
          <w:szCs w:val="24"/>
        </w:rPr>
      </w:pPr>
    </w:p>
    <w:p w:rsidR="004519E4" w:rsidRPr="00647ACC" w:rsidRDefault="005E0D41" w:rsidP="005E0D41">
      <w:pPr>
        <w:pStyle w:val="Ttulo5"/>
        <w:ind w:left="0"/>
        <w:jc w:val="center"/>
        <w:rPr>
          <w:b/>
          <w:szCs w:val="24"/>
        </w:rPr>
      </w:pPr>
      <w:r w:rsidRPr="00647ACC">
        <w:rPr>
          <w:b/>
          <w:szCs w:val="24"/>
        </w:rPr>
        <w:t>S</w:t>
      </w:r>
      <w:r w:rsidR="000F4457" w:rsidRPr="00647ACC">
        <w:rPr>
          <w:b/>
          <w:szCs w:val="24"/>
        </w:rPr>
        <w:t>enador</w:t>
      </w:r>
      <w:r w:rsidRPr="00647ACC">
        <w:rPr>
          <w:b/>
          <w:szCs w:val="24"/>
        </w:rPr>
        <w:t xml:space="preserve"> </w:t>
      </w:r>
      <w:r w:rsidR="00347F92" w:rsidRPr="00647ACC">
        <w:rPr>
          <w:b/>
          <w:szCs w:val="24"/>
        </w:rPr>
        <w:t>ROMERO JUCÁ</w:t>
      </w:r>
    </w:p>
    <w:sectPr w:rsidR="004519E4" w:rsidRPr="00647ACC" w:rsidSect="001A2D0F">
      <w:headerReference w:type="even" r:id="rId8"/>
      <w:headerReference w:type="default" r:id="rId9"/>
      <w:headerReference w:type="first" r:id="rId10"/>
      <w:pgSz w:w="11907" w:h="16840" w:code="9"/>
      <w:pgMar w:top="1985" w:right="1418" w:bottom="1418"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922" w:rsidRDefault="00EA1922">
      <w:r>
        <w:separator/>
      </w:r>
    </w:p>
  </w:endnote>
  <w:endnote w:type="continuationSeparator" w:id="0">
    <w:p w:rsidR="00EA1922" w:rsidRDefault="00EA19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922" w:rsidRDefault="00EA1922">
      <w:r>
        <w:separator/>
      </w:r>
    </w:p>
  </w:footnote>
  <w:footnote w:type="continuationSeparator" w:id="0">
    <w:p w:rsidR="00EA1922" w:rsidRDefault="00EA19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F17" w:rsidRDefault="001513A8">
    <w:pPr>
      <w:pStyle w:val="Cabealho"/>
      <w:framePr w:wrap="around" w:vAnchor="text" w:hAnchor="margin" w:xAlign="right" w:y="1"/>
      <w:rPr>
        <w:rStyle w:val="Nmerodepgina"/>
      </w:rPr>
    </w:pPr>
    <w:r>
      <w:rPr>
        <w:rStyle w:val="Nmerodepgina"/>
      </w:rPr>
      <w:fldChar w:fldCharType="begin"/>
    </w:r>
    <w:r w:rsidR="009E7F17">
      <w:rPr>
        <w:rStyle w:val="Nmerodepgina"/>
      </w:rPr>
      <w:instrText xml:space="preserve">PAGE  </w:instrText>
    </w:r>
    <w:r>
      <w:rPr>
        <w:rStyle w:val="Nmerodepgina"/>
      </w:rPr>
      <w:fldChar w:fldCharType="separate"/>
    </w:r>
    <w:r w:rsidR="009E7F17">
      <w:rPr>
        <w:rStyle w:val="Nmerodepgina"/>
        <w:noProof/>
      </w:rPr>
      <w:t>1</w:t>
    </w:r>
    <w:r>
      <w:rPr>
        <w:rStyle w:val="Nmerodepgina"/>
      </w:rPr>
      <w:fldChar w:fldCharType="end"/>
    </w:r>
  </w:p>
  <w:p w:rsidR="009E7F17" w:rsidRDefault="009E7F17">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F17" w:rsidRDefault="001513A8">
    <w:pPr>
      <w:pStyle w:val="Cabealho"/>
      <w:framePr w:wrap="around" w:vAnchor="text" w:hAnchor="margin" w:xAlign="right" w:y="1"/>
      <w:rPr>
        <w:rStyle w:val="Nmerodepgina"/>
      </w:rPr>
    </w:pPr>
    <w:r>
      <w:rPr>
        <w:rStyle w:val="Nmerodepgina"/>
      </w:rPr>
      <w:fldChar w:fldCharType="begin"/>
    </w:r>
    <w:r w:rsidR="009E7F17">
      <w:rPr>
        <w:rStyle w:val="Nmerodepgina"/>
      </w:rPr>
      <w:instrText xml:space="preserve">PAGE  </w:instrText>
    </w:r>
    <w:r>
      <w:rPr>
        <w:rStyle w:val="Nmerodepgina"/>
      </w:rPr>
      <w:fldChar w:fldCharType="separate"/>
    </w:r>
    <w:r w:rsidR="00C322AF">
      <w:rPr>
        <w:rStyle w:val="Nmerodepgina"/>
        <w:noProof/>
      </w:rPr>
      <w:t>2</w:t>
    </w:r>
    <w:r>
      <w:rPr>
        <w:rStyle w:val="Nmerodepgina"/>
      </w:rPr>
      <w:fldChar w:fldCharType="end"/>
    </w:r>
  </w:p>
  <w:p w:rsidR="00647ACC" w:rsidRDefault="00647ACC" w:rsidP="00647ACC">
    <w:pPr>
      <w:pStyle w:val="Cabealho"/>
      <w:spacing w:after="120"/>
      <w:jc w:val="center"/>
      <w:rPr>
        <w:noProof/>
      </w:rPr>
    </w:pPr>
    <w:r>
      <w:rPr>
        <w:noProof/>
      </w:rPr>
      <w:drawing>
        <wp:inline distT="0" distB="0" distL="0" distR="0">
          <wp:extent cx="1238250" cy="942975"/>
          <wp:effectExtent l="19050" t="0" r="0" b="0"/>
          <wp:docPr id="3" name="Imagem 2" descr="Armas_ofic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Armas_oficios.jpg"/>
                  <pic:cNvPicPr>
                    <a:picLocks noChangeAspect="1" noChangeArrowheads="1"/>
                  </pic:cNvPicPr>
                </pic:nvPicPr>
                <pic:blipFill>
                  <a:blip r:embed="rId1"/>
                  <a:srcRect/>
                  <a:stretch>
                    <a:fillRect/>
                  </a:stretch>
                </pic:blipFill>
                <pic:spPr bwMode="auto">
                  <a:xfrm>
                    <a:off x="0" y="0"/>
                    <a:ext cx="1238250" cy="942975"/>
                  </a:xfrm>
                  <a:prstGeom prst="rect">
                    <a:avLst/>
                  </a:prstGeom>
                  <a:noFill/>
                  <a:ln w="9525">
                    <a:noFill/>
                    <a:miter lim="800000"/>
                    <a:headEnd/>
                    <a:tailEnd/>
                  </a:ln>
                </pic:spPr>
              </pic:pic>
            </a:graphicData>
          </a:graphic>
        </wp:inline>
      </w:drawing>
    </w:r>
  </w:p>
  <w:p w:rsidR="00647ACC" w:rsidRDefault="00647ACC" w:rsidP="00647ACC">
    <w:pPr>
      <w:pStyle w:val="Cabealho"/>
      <w:spacing w:after="120"/>
      <w:jc w:val="center"/>
      <w:rPr>
        <w:noProof/>
      </w:rPr>
    </w:pPr>
    <w:r>
      <w:rPr>
        <w:noProof/>
      </w:rPr>
      <w:t>Gabinete do Senador Romero Jucá</w:t>
    </w:r>
  </w:p>
  <w:p w:rsidR="00647ACC" w:rsidRDefault="00647ACC" w:rsidP="00647ACC">
    <w:pPr>
      <w:pStyle w:val="Cabealho"/>
    </w:pPr>
  </w:p>
  <w:p w:rsidR="009E7F17" w:rsidRDefault="009E7F17">
    <w:pPr>
      <w:pStyle w:val="Cabealho"/>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ACC" w:rsidRDefault="00647ACC" w:rsidP="00647ACC">
    <w:pPr>
      <w:pStyle w:val="Cabealho"/>
      <w:spacing w:after="120"/>
      <w:jc w:val="center"/>
      <w:rPr>
        <w:noProof/>
      </w:rPr>
    </w:pPr>
    <w:r>
      <w:rPr>
        <w:noProof/>
      </w:rPr>
      <w:drawing>
        <wp:inline distT="0" distB="0" distL="0" distR="0">
          <wp:extent cx="1238250" cy="942975"/>
          <wp:effectExtent l="19050" t="0" r="0" b="0"/>
          <wp:docPr id="1" name="Imagem 2" descr="Armas_ofic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Armas_oficios.jpg"/>
                  <pic:cNvPicPr>
                    <a:picLocks noChangeAspect="1" noChangeArrowheads="1"/>
                  </pic:cNvPicPr>
                </pic:nvPicPr>
                <pic:blipFill>
                  <a:blip r:embed="rId1"/>
                  <a:srcRect/>
                  <a:stretch>
                    <a:fillRect/>
                  </a:stretch>
                </pic:blipFill>
                <pic:spPr bwMode="auto">
                  <a:xfrm>
                    <a:off x="0" y="0"/>
                    <a:ext cx="1238250" cy="942975"/>
                  </a:xfrm>
                  <a:prstGeom prst="rect">
                    <a:avLst/>
                  </a:prstGeom>
                  <a:noFill/>
                  <a:ln w="9525">
                    <a:noFill/>
                    <a:miter lim="800000"/>
                    <a:headEnd/>
                    <a:tailEnd/>
                  </a:ln>
                </pic:spPr>
              </pic:pic>
            </a:graphicData>
          </a:graphic>
        </wp:inline>
      </w:drawing>
    </w:r>
  </w:p>
  <w:p w:rsidR="00647ACC" w:rsidRDefault="00647ACC" w:rsidP="00647ACC">
    <w:pPr>
      <w:pStyle w:val="Cabealho"/>
      <w:spacing w:after="120"/>
      <w:jc w:val="center"/>
      <w:rPr>
        <w:noProof/>
      </w:rPr>
    </w:pPr>
    <w:r>
      <w:rPr>
        <w:noProof/>
      </w:rPr>
      <w:t>Gabinete do Senador Romero Jucá</w:t>
    </w:r>
  </w:p>
  <w:p w:rsidR="00647ACC" w:rsidRDefault="00647ACC" w:rsidP="00647ACC">
    <w:pPr>
      <w:pStyle w:val="Cabealho"/>
    </w:pPr>
  </w:p>
  <w:p w:rsidR="00647ACC" w:rsidRDefault="00647AC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D30B1"/>
    <w:multiLevelType w:val="singleLevel"/>
    <w:tmpl w:val="4A0629A4"/>
    <w:lvl w:ilvl="0">
      <w:start w:val="1"/>
      <w:numFmt w:val="lowerLetter"/>
      <w:lvlText w:val="%1)"/>
      <w:lvlJc w:val="left"/>
      <w:pPr>
        <w:tabs>
          <w:tab w:val="num" w:pos="3002"/>
        </w:tabs>
        <w:ind w:left="3002" w:hanging="450"/>
      </w:pPr>
      <w:rPr>
        <w:rFonts w:hint="default"/>
      </w:rPr>
    </w:lvl>
  </w:abstractNum>
  <w:abstractNum w:abstractNumId="1">
    <w:nsid w:val="78A4712A"/>
    <w:multiLevelType w:val="singleLevel"/>
    <w:tmpl w:val="5F2C83FC"/>
    <w:lvl w:ilvl="0">
      <w:start w:val="1"/>
      <w:numFmt w:val="lowerLetter"/>
      <w:lvlText w:val="%1)"/>
      <w:legacy w:legacy="1" w:legacySpace="0" w:legacyIndent="1068"/>
      <w:lvlJc w:val="left"/>
      <w:pPr>
        <w:ind w:left="1776" w:hanging="1068"/>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15B72"/>
    <w:rsid w:val="0001040B"/>
    <w:rsid w:val="000116CC"/>
    <w:rsid w:val="00075433"/>
    <w:rsid w:val="00075B67"/>
    <w:rsid w:val="000925A0"/>
    <w:rsid w:val="000A7364"/>
    <w:rsid w:val="000C1D2E"/>
    <w:rsid w:val="000D0FD9"/>
    <w:rsid w:val="000F4457"/>
    <w:rsid w:val="001513A8"/>
    <w:rsid w:val="00156379"/>
    <w:rsid w:val="0019282C"/>
    <w:rsid w:val="001A2D0F"/>
    <w:rsid w:val="001A34EA"/>
    <w:rsid w:val="001B7D65"/>
    <w:rsid w:val="001C24FC"/>
    <w:rsid w:val="002122D4"/>
    <w:rsid w:val="00212FB4"/>
    <w:rsid w:val="00264198"/>
    <w:rsid w:val="002951C0"/>
    <w:rsid w:val="002F1396"/>
    <w:rsid w:val="00334403"/>
    <w:rsid w:val="00347F92"/>
    <w:rsid w:val="00396966"/>
    <w:rsid w:val="003B5F60"/>
    <w:rsid w:val="003F4FF7"/>
    <w:rsid w:val="00415B72"/>
    <w:rsid w:val="004508E5"/>
    <w:rsid w:val="004519E4"/>
    <w:rsid w:val="00467293"/>
    <w:rsid w:val="00484932"/>
    <w:rsid w:val="00495170"/>
    <w:rsid w:val="004A2FEA"/>
    <w:rsid w:val="004B1B7F"/>
    <w:rsid w:val="004D72DE"/>
    <w:rsid w:val="00502AD0"/>
    <w:rsid w:val="005C57E3"/>
    <w:rsid w:val="005E0D41"/>
    <w:rsid w:val="00617B51"/>
    <w:rsid w:val="00620451"/>
    <w:rsid w:val="00641DE7"/>
    <w:rsid w:val="00647ACC"/>
    <w:rsid w:val="006E0389"/>
    <w:rsid w:val="00766283"/>
    <w:rsid w:val="00784424"/>
    <w:rsid w:val="007F022D"/>
    <w:rsid w:val="00833AE3"/>
    <w:rsid w:val="008F4677"/>
    <w:rsid w:val="00917A39"/>
    <w:rsid w:val="00936D8E"/>
    <w:rsid w:val="00955E22"/>
    <w:rsid w:val="00986466"/>
    <w:rsid w:val="009C2DC0"/>
    <w:rsid w:val="009E7F17"/>
    <w:rsid w:val="00A23387"/>
    <w:rsid w:val="00A24A42"/>
    <w:rsid w:val="00A304F3"/>
    <w:rsid w:val="00A86984"/>
    <w:rsid w:val="00B466D4"/>
    <w:rsid w:val="00B87773"/>
    <w:rsid w:val="00B930AA"/>
    <w:rsid w:val="00BA3933"/>
    <w:rsid w:val="00BC7255"/>
    <w:rsid w:val="00BF03E4"/>
    <w:rsid w:val="00C05809"/>
    <w:rsid w:val="00C322AF"/>
    <w:rsid w:val="00C831B7"/>
    <w:rsid w:val="00C9645F"/>
    <w:rsid w:val="00C96D12"/>
    <w:rsid w:val="00CD0D19"/>
    <w:rsid w:val="00CF4EF9"/>
    <w:rsid w:val="00D0625A"/>
    <w:rsid w:val="00D274BA"/>
    <w:rsid w:val="00D34CB1"/>
    <w:rsid w:val="00D53E6E"/>
    <w:rsid w:val="00D97CA0"/>
    <w:rsid w:val="00DD094E"/>
    <w:rsid w:val="00DD7A6F"/>
    <w:rsid w:val="00DE2FDA"/>
    <w:rsid w:val="00E40487"/>
    <w:rsid w:val="00EA1922"/>
    <w:rsid w:val="00EC5FF8"/>
    <w:rsid w:val="00F13888"/>
    <w:rsid w:val="00FB3F45"/>
    <w:rsid w:val="00FC09FA"/>
    <w:rsid w:val="00FE1E62"/>
    <w:rsid w:val="00FE2BF2"/>
    <w:rsid w:val="00FE5299"/>
    <w:rsid w:val="00FF51D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433"/>
  </w:style>
  <w:style w:type="paragraph" w:styleId="Ttulo1">
    <w:name w:val="heading 1"/>
    <w:basedOn w:val="Normal"/>
    <w:next w:val="Normal"/>
    <w:qFormat/>
    <w:rsid w:val="00075433"/>
    <w:pPr>
      <w:keepNext/>
      <w:outlineLvl w:val="0"/>
    </w:pPr>
    <w:rPr>
      <w:sz w:val="28"/>
    </w:rPr>
  </w:style>
  <w:style w:type="paragraph" w:styleId="Ttulo2">
    <w:name w:val="heading 2"/>
    <w:basedOn w:val="Normal"/>
    <w:next w:val="Normal"/>
    <w:qFormat/>
    <w:rsid w:val="00075433"/>
    <w:pPr>
      <w:keepNext/>
      <w:jc w:val="center"/>
      <w:outlineLvl w:val="1"/>
    </w:pPr>
    <w:rPr>
      <w:sz w:val="28"/>
    </w:rPr>
  </w:style>
  <w:style w:type="paragraph" w:styleId="Ttulo3">
    <w:name w:val="heading 3"/>
    <w:basedOn w:val="Normal"/>
    <w:next w:val="Normal"/>
    <w:qFormat/>
    <w:rsid w:val="00075433"/>
    <w:pPr>
      <w:keepNext/>
      <w:jc w:val="center"/>
      <w:outlineLvl w:val="2"/>
    </w:pPr>
    <w:rPr>
      <w:b/>
      <w:sz w:val="28"/>
    </w:rPr>
  </w:style>
  <w:style w:type="paragraph" w:styleId="Ttulo4">
    <w:name w:val="heading 4"/>
    <w:basedOn w:val="Normal"/>
    <w:next w:val="Normal"/>
    <w:qFormat/>
    <w:rsid w:val="00075433"/>
    <w:pPr>
      <w:keepNext/>
      <w:ind w:firstLine="1418"/>
      <w:jc w:val="center"/>
      <w:outlineLvl w:val="3"/>
    </w:pPr>
    <w:rPr>
      <w:sz w:val="28"/>
    </w:rPr>
  </w:style>
  <w:style w:type="paragraph" w:styleId="Ttulo5">
    <w:name w:val="heading 5"/>
    <w:basedOn w:val="Normal"/>
    <w:next w:val="Normal"/>
    <w:qFormat/>
    <w:rsid w:val="00075433"/>
    <w:pPr>
      <w:keepNext/>
      <w:ind w:left="3119"/>
      <w:jc w:val="both"/>
      <w:outlineLvl w:val="4"/>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075433"/>
    <w:pPr>
      <w:jc w:val="both"/>
    </w:pPr>
    <w:rPr>
      <w:sz w:val="28"/>
    </w:rPr>
  </w:style>
  <w:style w:type="paragraph" w:customStyle="1" w:styleId="Corpodetexto21">
    <w:name w:val="Corpo de texto 21"/>
    <w:basedOn w:val="Normal"/>
    <w:rsid w:val="00075433"/>
    <w:pPr>
      <w:ind w:left="709"/>
      <w:jc w:val="both"/>
    </w:pPr>
    <w:rPr>
      <w:sz w:val="28"/>
    </w:rPr>
  </w:style>
  <w:style w:type="paragraph" w:styleId="Cabealho">
    <w:name w:val="header"/>
    <w:basedOn w:val="Normal"/>
    <w:link w:val="CabealhoChar"/>
    <w:uiPriority w:val="99"/>
    <w:rsid w:val="00075433"/>
    <w:pPr>
      <w:tabs>
        <w:tab w:val="center" w:pos="4419"/>
        <w:tab w:val="right" w:pos="8838"/>
      </w:tabs>
    </w:pPr>
  </w:style>
  <w:style w:type="character" w:styleId="Nmerodepgina">
    <w:name w:val="page number"/>
    <w:basedOn w:val="Fontepargpadro"/>
    <w:rsid w:val="00075433"/>
  </w:style>
  <w:style w:type="paragraph" w:styleId="Rodap">
    <w:name w:val="footer"/>
    <w:basedOn w:val="Normal"/>
    <w:rsid w:val="00075433"/>
    <w:pPr>
      <w:tabs>
        <w:tab w:val="center" w:pos="4419"/>
        <w:tab w:val="right" w:pos="8838"/>
      </w:tabs>
    </w:pPr>
  </w:style>
  <w:style w:type="paragraph" w:styleId="Recuodecorpodetexto">
    <w:name w:val="Body Text Indent"/>
    <w:basedOn w:val="Normal"/>
    <w:rsid w:val="00075433"/>
    <w:pPr>
      <w:ind w:firstLine="851"/>
      <w:jc w:val="both"/>
    </w:pPr>
    <w:rPr>
      <w:sz w:val="28"/>
    </w:rPr>
  </w:style>
  <w:style w:type="paragraph" w:styleId="Ttulo">
    <w:name w:val="Title"/>
    <w:basedOn w:val="Normal"/>
    <w:qFormat/>
    <w:rsid w:val="00075433"/>
    <w:pPr>
      <w:jc w:val="center"/>
    </w:pPr>
    <w:rPr>
      <w:b/>
      <w:sz w:val="28"/>
    </w:rPr>
  </w:style>
  <w:style w:type="paragraph" w:styleId="Recuodecorpodetexto2">
    <w:name w:val="Body Text Indent 2"/>
    <w:basedOn w:val="Normal"/>
    <w:rsid w:val="00075433"/>
    <w:pPr>
      <w:ind w:firstLine="1418"/>
      <w:jc w:val="both"/>
    </w:pPr>
    <w:rPr>
      <w:sz w:val="28"/>
    </w:rPr>
  </w:style>
  <w:style w:type="character" w:styleId="Hyperlink">
    <w:name w:val="Hyperlink"/>
    <w:basedOn w:val="Fontepargpadro"/>
    <w:rsid w:val="00075433"/>
    <w:rPr>
      <w:color w:val="0000FF"/>
      <w:u w:val="single"/>
    </w:rPr>
  </w:style>
  <w:style w:type="paragraph" w:styleId="NormalWeb">
    <w:name w:val="Normal (Web)"/>
    <w:basedOn w:val="Normal"/>
    <w:uiPriority w:val="99"/>
    <w:unhideWhenUsed/>
    <w:rsid w:val="00D97CA0"/>
    <w:pPr>
      <w:spacing w:before="100" w:beforeAutospacing="1" w:after="100" w:afterAutospacing="1"/>
    </w:pPr>
    <w:rPr>
      <w:sz w:val="24"/>
      <w:szCs w:val="24"/>
    </w:rPr>
  </w:style>
  <w:style w:type="character" w:customStyle="1" w:styleId="apple-converted-space">
    <w:name w:val="apple-converted-space"/>
    <w:basedOn w:val="Fontepargpadro"/>
    <w:rsid w:val="00D97CA0"/>
  </w:style>
  <w:style w:type="character" w:customStyle="1" w:styleId="CabealhoChar">
    <w:name w:val="Cabeçalho Char"/>
    <w:basedOn w:val="Fontepargpadro"/>
    <w:link w:val="Cabealho"/>
    <w:uiPriority w:val="99"/>
    <w:locked/>
    <w:rsid w:val="00647ACC"/>
  </w:style>
  <w:style w:type="paragraph" w:styleId="Textodebalo">
    <w:name w:val="Balloon Text"/>
    <w:basedOn w:val="Normal"/>
    <w:link w:val="TextodebaloChar"/>
    <w:semiHidden/>
    <w:unhideWhenUsed/>
    <w:rsid w:val="002F1396"/>
    <w:rPr>
      <w:rFonts w:ascii="Tahoma" w:hAnsi="Tahoma" w:cs="Tahoma"/>
      <w:sz w:val="16"/>
      <w:szCs w:val="16"/>
    </w:rPr>
  </w:style>
  <w:style w:type="character" w:customStyle="1" w:styleId="TextodebaloChar">
    <w:name w:val="Texto de balão Char"/>
    <w:basedOn w:val="Fontepargpadro"/>
    <w:link w:val="Textodebalo"/>
    <w:semiHidden/>
    <w:rsid w:val="002F13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6634699">
      <w:bodyDiv w:val="1"/>
      <w:marLeft w:val="0"/>
      <w:marRight w:val="0"/>
      <w:marTop w:val="0"/>
      <w:marBottom w:val="0"/>
      <w:divBdr>
        <w:top w:val="none" w:sz="0" w:space="0" w:color="auto"/>
        <w:left w:val="none" w:sz="0" w:space="0" w:color="auto"/>
        <w:bottom w:val="none" w:sz="0" w:space="0" w:color="auto"/>
        <w:right w:val="none" w:sz="0" w:space="0" w:color="auto"/>
      </w:divBdr>
    </w:div>
    <w:div w:id="636497885">
      <w:bodyDiv w:val="1"/>
      <w:marLeft w:val="0"/>
      <w:marRight w:val="0"/>
      <w:marTop w:val="0"/>
      <w:marBottom w:val="0"/>
      <w:divBdr>
        <w:top w:val="none" w:sz="0" w:space="0" w:color="auto"/>
        <w:left w:val="none" w:sz="0" w:space="0" w:color="auto"/>
        <w:bottom w:val="none" w:sz="0" w:space="0" w:color="auto"/>
        <w:right w:val="none" w:sz="0" w:space="0" w:color="auto"/>
      </w:divBdr>
    </w:div>
    <w:div w:id="1515798490">
      <w:bodyDiv w:val="1"/>
      <w:marLeft w:val="0"/>
      <w:marRight w:val="0"/>
      <w:marTop w:val="0"/>
      <w:marBottom w:val="0"/>
      <w:divBdr>
        <w:top w:val="none" w:sz="0" w:space="0" w:color="auto"/>
        <w:left w:val="none" w:sz="0" w:space="0" w:color="auto"/>
        <w:bottom w:val="none" w:sz="0" w:space="0" w:color="auto"/>
        <w:right w:val="none" w:sz="0" w:space="0" w:color="auto"/>
      </w:divBdr>
    </w:div>
    <w:div w:id="174510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C6861DC-35C2-4CFB-8F0F-302E9DD89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2698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PROJETO DE LEI DO SENADO nº 169 (SUBSTITUTIVO), DE 1999</vt:lpstr>
    </vt:vector>
  </TitlesOfParts>
  <Company>Senado Federal</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DO SENADO nº 169 (SUBSTITUTIVO), DE 1999</dc:title>
  <dc:creator>Meiriane Nunes Amaro</dc:creator>
  <cp:lastModifiedBy>romanini</cp:lastModifiedBy>
  <cp:revision>2</cp:revision>
  <cp:lastPrinted>2015-01-28T16:54:00Z</cp:lastPrinted>
  <dcterms:created xsi:type="dcterms:W3CDTF">2015-06-09T21:06:00Z</dcterms:created>
  <dcterms:modified xsi:type="dcterms:W3CDTF">2015-06-09T21:06:00Z</dcterms:modified>
</cp:coreProperties>
</file>