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7" w:rsidRDefault="003A1E97" w:rsidP="003A1E97">
      <w:pPr>
        <w:pStyle w:val="01-Minuta-CLG"/>
      </w:pPr>
    </w:p>
    <w:p w:rsidR="003A1E97" w:rsidRDefault="003A1E97" w:rsidP="003A1E97">
      <w:pPr>
        <w:pStyle w:val="02-TtuloPrincipal-CLG"/>
      </w:pPr>
      <w:r>
        <w:t xml:space="preserve">PARECER </w:t>
      </w:r>
      <w:proofErr w:type="gramStart"/>
      <w:r>
        <w:t>Nº       ,</w:t>
      </w:r>
      <w:proofErr w:type="gramEnd"/>
      <w:r>
        <w:t xml:space="preserve"> DE </w:t>
      </w:r>
      <w:r w:rsidR="00CF4622">
        <w:t>2015</w:t>
      </w:r>
    </w:p>
    <w:p w:rsidR="003A1E97" w:rsidRDefault="00FE78F0" w:rsidP="003A1E97">
      <w:pPr>
        <w:pStyle w:val="03-Ementa-CLG"/>
      </w:pPr>
      <w:bookmarkStart w:id="0" w:name="sigla_comissao"/>
      <w:bookmarkStart w:id="1" w:name="nome_comissao"/>
      <w:r>
        <w:t>Da COMISSÃO</w:t>
      </w:r>
      <w:bookmarkEnd w:id="0"/>
      <w:r>
        <w:t xml:space="preserve"> </w:t>
      </w:r>
      <w:bookmarkEnd w:id="1"/>
      <w:r>
        <w:t xml:space="preserve">DE DIREITOS HUMANOS E LEGISLAÇÃO PARTICIPATIVA, sobre a Sugestão nº 3, de 2014, das Jovens Senadoras Jéssica Horta, Joyce Xavier Pacheco e </w:t>
      </w:r>
      <w:proofErr w:type="spellStart"/>
      <w:r>
        <w:t>Loysleny</w:t>
      </w:r>
      <w:proofErr w:type="spellEnd"/>
      <w:r>
        <w:t xml:space="preserve"> França e dos Jovens Senadores Lucas Evangelista e Samuel da Silva Andrade, de</w:t>
      </w:r>
      <w:r w:rsidR="00110649">
        <w:t xml:space="preserve"> </w:t>
      </w:r>
      <w:r>
        <w:t xml:space="preserve">projeto de lei que </w:t>
      </w:r>
      <w:r w:rsidRPr="005C06AF">
        <w:rPr>
          <w:i/>
        </w:rPr>
        <w:t>dispõe sobre a grade curricular do ensino médio e a obrigatoriedade de</w:t>
      </w:r>
      <w:r>
        <w:rPr>
          <w:i/>
        </w:rPr>
        <w:t xml:space="preserve"> </w:t>
      </w:r>
      <w:r w:rsidRPr="005C06AF">
        <w:rPr>
          <w:i/>
        </w:rPr>
        <w:t>acesso à internet nas escolas do ensino médio</w:t>
      </w:r>
      <w:r>
        <w:t>.</w:t>
      </w:r>
      <w:r w:rsidR="003A1E97">
        <w:t xml:space="preserve"> </w:t>
      </w:r>
    </w:p>
    <w:p w:rsidR="003A1E97" w:rsidRPr="00FE78F0" w:rsidRDefault="003A1E97" w:rsidP="003A1E97">
      <w:pPr>
        <w:pStyle w:val="04-Relatoria-CLG"/>
        <w:rPr>
          <w:b/>
        </w:rPr>
      </w:pPr>
      <w:r>
        <w:t>RELATOR: Senador</w:t>
      </w:r>
      <w:r w:rsidR="00FE78F0">
        <w:t xml:space="preserve"> </w:t>
      </w:r>
      <w:r w:rsidR="00FE78F0">
        <w:rPr>
          <w:b/>
        </w:rPr>
        <w:t>EDUARDO AMORIM</w:t>
      </w:r>
    </w:p>
    <w:p w:rsidR="003A1E97" w:rsidRDefault="003A1E97" w:rsidP="003A1E97">
      <w:pPr>
        <w:pStyle w:val="05-Subttulo-CLG"/>
      </w:pPr>
      <w:r>
        <w:t>I – RELATÓRIO</w:t>
      </w:r>
    </w:p>
    <w:p w:rsidR="00FE78F0" w:rsidRPr="006617BF" w:rsidRDefault="00FE78F0" w:rsidP="00FE78F0">
      <w:pPr>
        <w:pStyle w:val="05-Pargrafodetexto-CLG"/>
      </w:pPr>
      <w:r>
        <w:t xml:space="preserve">Examina-se nesta Comissão de Direitos Humanos e Legislação Participativa (CDH) a </w:t>
      </w:r>
      <w:r w:rsidRPr="006617BF">
        <w:t xml:space="preserve">Sugestão (SUG) nº </w:t>
      </w:r>
      <w:r>
        <w:t>3</w:t>
      </w:r>
      <w:r w:rsidRPr="006617BF">
        <w:t>, de 20</w:t>
      </w:r>
      <w:r>
        <w:t>14</w:t>
      </w:r>
      <w:r w:rsidRPr="006617BF">
        <w:t xml:space="preserve">, </w:t>
      </w:r>
      <w:r>
        <w:t>das Jovens Senado</w:t>
      </w:r>
      <w:r w:rsidR="00080355">
        <w:t>ras Jéssica Horta, Joyce Xavier e</w:t>
      </w:r>
      <w:r>
        <w:t xml:space="preserve"> </w:t>
      </w:r>
      <w:proofErr w:type="spellStart"/>
      <w:r>
        <w:t>Loysleny</w:t>
      </w:r>
      <w:proofErr w:type="spellEnd"/>
      <w:r>
        <w:t xml:space="preserve"> França e dos Jovens Senadores Lucas Evangelista e Samuel da Silva Andrade</w:t>
      </w:r>
      <w:r w:rsidRPr="006617BF">
        <w:t>, oriunda d</w:t>
      </w:r>
      <w:r>
        <w:t xml:space="preserve">e proposição </w:t>
      </w:r>
      <w:r w:rsidRPr="006617BF">
        <w:t>aprovad</w:t>
      </w:r>
      <w:r>
        <w:t>a</w:t>
      </w:r>
      <w:r w:rsidRPr="006617BF">
        <w:t xml:space="preserve"> n</w:t>
      </w:r>
      <w:r>
        <w:t>a 3</w:t>
      </w:r>
      <w:r w:rsidRPr="006617BF">
        <w:t>ª Edição do Projeto Senado Jovem.</w:t>
      </w:r>
    </w:p>
    <w:p w:rsidR="00FE78F0" w:rsidRDefault="00FE78F0" w:rsidP="00FE78F0">
      <w:pPr>
        <w:pStyle w:val="05-Pargrafodetexto-CLG"/>
      </w:pPr>
      <w:r w:rsidRPr="006617BF">
        <w:t xml:space="preserve">A SUG nº </w:t>
      </w:r>
      <w:r>
        <w:t>3, de 2014</w:t>
      </w:r>
      <w:r w:rsidRPr="006617BF">
        <w:t xml:space="preserve">, propõe </w:t>
      </w:r>
      <w:r>
        <w:t>o acréscimo de conteúdos à grade curricular do ensino médio (art. 1º), bem como a obrigatoriedade de as escolas de ensino médio</w:t>
      </w:r>
      <w:r w:rsidR="00110649" w:rsidRPr="00110649">
        <w:t xml:space="preserve"> </w:t>
      </w:r>
      <w:proofErr w:type="gramStart"/>
      <w:r w:rsidR="00110649">
        <w:t>oferecerem</w:t>
      </w:r>
      <w:proofErr w:type="gramEnd"/>
      <w:r>
        <w:t xml:space="preserve">, no mínimo, um ponto de acesso à </w:t>
      </w:r>
      <w:proofErr w:type="gramStart"/>
      <w:r>
        <w:t>internet</w:t>
      </w:r>
      <w:proofErr w:type="gramEnd"/>
      <w:r>
        <w:t xml:space="preserve"> disponível para uso dos alunos (art. 2º).</w:t>
      </w:r>
    </w:p>
    <w:p w:rsidR="00FE78F0" w:rsidRDefault="00FE78F0" w:rsidP="00FE78F0">
      <w:pPr>
        <w:pStyle w:val="05-Pargrafodetexto-CLG"/>
      </w:pPr>
      <w:r>
        <w:t>No que tange aos conteúdos, a medida prevê a inclusão nos currículos do ensino médio de conhecimentos básicos sobre a Constituição, cultura regional, ética, cidadania e funcionamento do sistema político, a serem ofertados, preferencialmente, em meio digital.</w:t>
      </w:r>
    </w:p>
    <w:p w:rsidR="00FE78F0" w:rsidRDefault="00FE78F0" w:rsidP="00FE78F0">
      <w:pPr>
        <w:pStyle w:val="05-Pargrafodetexto-CLG"/>
      </w:pPr>
      <w:r w:rsidRPr="006617BF">
        <w:t xml:space="preserve">Na justificação, os Jovens Senadores </w:t>
      </w:r>
      <w:r>
        <w:t>salientam a necessidade de fortalecimento da formação crítica dos estudantes para melhor exercício da cidadania e entendimento da realidade brasileira. Apontam que a oferta não presencial diminuiria os custos de implantação da mudança.</w:t>
      </w:r>
    </w:p>
    <w:p w:rsidR="003A1E97" w:rsidRPr="003311AC" w:rsidRDefault="00FE78F0" w:rsidP="00FE78F0">
      <w:pPr>
        <w:pStyle w:val="06-Pargrafodetexto-CLG"/>
      </w:pPr>
      <w:r>
        <w:lastRenderedPageBreak/>
        <w:t>A proposta foi aprovada no Plenário do Senado Jovem</w:t>
      </w:r>
      <w:r w:rsidRPr="006617BF">
        <w:t xml:space="preserve"> por 2</w:t>
      </w:r>
      <w:r>
        <w:t>5</w:t>
      </w:r>
      <w:r w:rsidRPr="006617BF">
        <w:t xml:space="preserve"> Jovens Senadores, </w:t>
      </w:r>
      <w:r w:rsidR="00110649">
        <w:t>que rejeitaram</w:t>
      </w:r>
      <w:r>
        <w:t xml:space="preserve"> a Emenda nº 1</w:t>
      </w:r>
      <w:r w:rsidR="00110649">
        <w:t xml:space="preserve"> a ele oferecida</w:t>
      </w:r>
      <w:r>
        <w:t xml:space="preserve">, </w:t>
      </w:r>
      <w:r w:rsidRPr="006617BF">
        <w:t xml:space="preserve">em sessão </w:t>
      </w:r>
      <w:r>
        <w:t>preparatória</w:t>
      </w:r>
      <w:r w:rsidRPr="006617BF">
        <w:t xml:space="preserve"> realizada, em 2</w:t>
      </w:r>
      <w:r>
        <w:t>0</w:t>
      </w:r>
      <w:r w:rsidRPr="006617BF">
        <w:t xml:space="preserve"> de novembro de 201</w:t>
      </w:r>
      <w:r>
        <w:t>3</w:t>
      </w:r>
      <w:r w:rsidRPr="006617BF">
        <w:t>, no âmbito do Projeto Jovem Senador</w:t>
      </w:r>
      <w:r>
        <w:t>,</w:t>
      </w:r>
      <w:r w:rsidRPr="006617BF">
        <w:t xml:space="preserve"> instituído pela Resolução nº 42, de 2010</w:t>
      </w:r>
      <w:r>
        <w:t>, do Senado</w:t>
      </w:r>
      <w:r w:rsidRPr="006617BF">
        <w:t>.</w:t>
      </w:r>
    </w:p>
    <w:p w:rsidR="003A1E97" w:rsidRPr="005523B9" w:rsidRDefault="003A1E97" w:rsidP="003A1E97">
      <w:pPr>
        <w:pStyle w:val="05-Subttulo-CLG"/>
      </w:pPr>
      <w:r w:rsidRPr="005523B9">
        <w:t>II – ANÁLISE</w:t>
      </w:r>
    </w:p>
    <w:p w:rsidR="00FE78F0" w:rsidRPr="006617BF" w:rsidRDefault="00FE78F0" w:rsidP="00FE78F0">
      <w:pPr>
        <w:pStyle w:val="06-Pargrafodetexto-CLG"/>
      </w:pPr>
      <w:r>
        <w:t>Em conformidade com o</w:t>
      </w:r>
      <w:r w:rsidRPr="006617BF">
        <w:t xml:space="preserve"> parágrafo único do art. 20 da Resolução nº 42, de 2010, tem tratamento de sugestão legislativa, prescrito no inciso I do art. 102-E do Regimento Interno do Senado Federal (RISF), a proposição legislativa devidamente aprovada e publicada</w:t>
      </w:r>
      <w:r>
        <w:t xml:space="preserve"> no âmbito do Projeto Jovem Senador</w:t>
      </w:r>
      <w:r w:rsidRPr="006617BF">
        <w:t xml:space="preserve">. </w:t>
      </w:r>
      <w:r>
        <w:t>Assim, estão</w:t>
      </w:r>
      <w:r w:rsidRPr="006617BF">
        <w:t xml:space="preserve"> atendidos os pressupostos regimentais para admissibilidade da SUG nº </w:t>
      </w:r>
      <w:r>
        <w:t>3</w:t>
      </w:r>
      <w:r w:rsidRPr="006617BF">
        <w:t>, de 201</w:t>
      </w:r>
      <w:r>
        <w:t>4</w:t>
      </w:r>
      <w:r w:rsidRPr="006617BF">
        <w:t>.</w:t>
      </w:r>
    </w:p>
    <w:p w:rsidR="006E7810" w:rsidRDefault="00E41633" w:rsidP="00E41633">
      <w:pPr>
        <w:pStyle w:val="06-Pargrafodetexto-CLG"/>
      </w:pPr>
      <w:r>
        <w:t>Passando à análise do mérito, consideramos que</w:t>
      </w:r>
      <w:r w:rsidR="005458F7">
        <w:t>,</w:t>
      </w:r>
      <w:r>
        <w:t xml:space="preserve"> </w:t>
      </w:r>
      <w:r w:rsidR="005458F7">
        <w:t xml:space="preserve">apesar de refletir uma preocupação de jovens brasileiros, </w:t>
      </w:r>
      <w:r>
        <w:t>a proposta não se sustenta em sua totalidade</w:t>
      </w:r>
      <w:r w:rsidR="006E7810">
        <w:t>.</w:t>
      </w:r>
    </w:p>
    <w:p w:rsidR="006E7810" w:rsidRDefault="006E7810" w:rsidP="006E7810">
      <w:pPr>
        <w:pStyle w:val="06-Pargrafodetexto-CLG"/>
      </w:pPr>
      <w:r>
        <w:t xml:space="preserve">Com efeito, cumpre relembrar que os currículos do ensino médio das escolas brasileiras já </w:t>
      </w:r>
      <w:r w:rsidR="00FA5FBF">
        <w:t>contemplam</w:t>
      </w:r>
      <w:r>
        <w:t xml:space="preserve"> os temas </w:t>
      </w:r>
      <w:r w:rsidR="00FA5FBF">
        <w:t>objeto d</w:t>
      </w:r>
      <w:r>
        <w:t xml:space="preserve">a SUG nº 3, de 2014, muito embora a apresentação de tais assuntos sofra variações, em razão da descentralização do sistema educacional. Desse modo, as temáticas podem ser trabalhadas em disciplinas tradicionais (como História, Sociologia, Filosofia, Literatura, Geografia e Artes), por meio de tratamento interdisciplinar, de programas específicos (por exemplo, em palestras de especialistas) ou, no mais das vezes, </w:t>
      </w:r>
      <w:r w:rsidR="005458F7">
        <w:t xml:space="preserve">de </w:t>
      </w:r>
      <w:r>
        <w:t>uma combinação dessas abordagens.</w:t>
      </w:r>
    </w:p>
    <w:p w:rsidR="006E7810" w:rsidRDefault="006E7810" w:rsidP="006E7810">
      <w:pPr>
        <w:pStyle w:val="06-Pargrafodetexto-CLG"/>
      </w:pPr>
      <w:r>
        <w:t xml:space="preserve">A norma curricular fundamental a respeito </w:t>
      </w:r>
      <w:r w:rsidR="005458F7">
        <w:t>da matéria</w:t>
      </w:r>
      <w:r>
        <w:t xml:space="preserve"> encontra-se no art. 27, </w:t>
      </w:r>
      <w:r w:rsidR="000D0412">
        <w:t xml:space="preserve">inciso </w:t>
      </w:r>
      <w:r>
        <w:t xml:space="preserve">I, da Lei nº 9.394, de </w:t>
      </w:r>
      <w:r w:rsidR="00FA5FBF">
        <w:t xml:space="preserve">20 de dezembro de </w:t>
      </w:r>
      <w:r>
        <w:t xml:space="preserve">1996, a Lei de Diretrizes e Bases da Educação (LDB), que determina que os conteúdos curriculares da educação básica </w:t>
      </w:r>
      <w:proofErr w:type="gramStart"/>
      <w:r>
        <w:t>devem</w:t>
      </w:r>
      <w:proofErr w:type="gramEnd"/>
      <w:r>
        <w:t xml:space="preserve"> difundir os</w:t>
      </w:r>
      <w:r>
        <w:rPr>
          <w:i/>
          <w:iCs/>
        </w:rPr>
        <w:t xml:space="preserve"> valores fundamentais ao interesse social, aos direitos e deveres dos cidadãos, de respeito ao bem comum e à ordem democrática</w:t>
      </w:r>
      <w:r>
        <w:t>.</w:t>
      </w:r>
    </w:p>
    <w:p w:rsidR="006E7810" w:rsidRDefault="006E7810" w:rsidP="006E7810">
      <w:pPr>
        <w:pStyle w:val="06-Pargrafodetexto-CLG"/>
      </w:pPr>
      <w:r>
        <w:t>Ademais, embora</w:t>
      </w:r>
      <w:r w:rsidRPr="00D223D8">
        <w:t xml:space="preserve"> a LDB </w:t>
      </w:r>
      <w:r>
        <w:t>atribua</w:t>
      </w:r>
      <w:r w:rsidRPr="00D223D8">
        <w:t xml:space="preserve"> </w:t>
      </w:r>
      <w:r>
        <w:t>a</w:t>
      </w:r>
      <w:r w:rsidRPr="00D223D8">
        <w:t xml:space="preserve">os sistemas de ensino e suas escolas </w:t>
      </w:r>
      <w:r>
        <w:t xml:space="preserve">a responsabilidade </w:t>
      </w:r>
      <w:r w:rsidRPr="00D223D8">
        <w:t xml:space="preserve">pela elaboração dos currículos plenos (art. 26), </w:t>
      </w:r>
      <w:r>
        <w:t xml:space="preserve">ela </w:t>
      </w:r>
      <w:r w:rsidRPr="00D223D8">
        <w:t xml:space="preserve">não deixa de estabelecer princípios comuns nesse campo. </w:t>
      </w:r>
      <w:r>
        <w:t>Além</w:t>
      </w:r>
      <w:r w:rsidRPr="00D223D8">
        <w:t xml:space="preserve"> de prever alguns componentes curriculares obrigatórios em seu corpo, a LDB confere à União a incumbência de definir diretrizes e bases curriculares nacionais, assim como um núcleo comum nacional para os currículos (art.</w:t>
      </w:r>
      <w:r w:rsidR="000D0412">
        <w:t> </w:t>
      </w:r>
      <w:r w:rsidRPr="00D223D8">
        <w:t>9º, inciso IV).</w:t>
      </w:r>
    </w:p>
    <w:p w:rsidR="006E7810" w:rsidRPr="00D223D8" w:rsidRDefault="006E7810" w:rsidP="006E7810">
      <w:pPr>
        <w:pStyle w:val="06-Pargrafodetexto-CLG"/>
      </w:pPr>
      <w:r w:rsidRPr="00D223D8">
        <w:lastRenderedPageBreak/>
        <w:t>O</w:t>
      </w:r>
      <w:r>
        <w:t>corre que o</w:t>
      </w:r>
      <w:r w:rsidRPr="00D223D8">
        <w:t xml:space="preserve"> próprio Congresso Nacional delegou a órgãos técnicos a tarefa de decidir sobre as linhas curriculares gerais da educação básica, por </w:t>
      </w:r>
      <w:r w:rsidR="000D0412">
        <w:t>entender</w:t>
      </w:r>
      <w:r w:rsidR="000D0412" w:rsidRPr="00D223D8">
        <w:t xml:space="preserve"> </w:t>
      </w:r>
      <w:r w:rsidRPr="00D223D8">
        <w:t xml:space="preserve">se tratar de questão técnica, a ser analisada por especialistas. Nesse particular, o art. 9º, § 1º, alínea </w:t>
      </w:r>
      <w:r w:rsidRPr="000D0412">
        <w:rPr>
          <w:i/>
        </w:rPr>
        <w:t>c</w:t>
      </w:r>
      <w:r w:rsidRPr="00D223D8">
        <w:t>, da Lei nº 4.024, de</w:t>
      </w:r>
      <w:r w:rsidR="00FA5FBF">
        <w:t xml:space="preserve"> 20 de dezembro de</w:t>
      </w:r>
      <w:r w:rsidRPr="00D223D8">
        <w:t xml:space="preserve"> 1961, com </w:t>
      </w:r>
      <w:r>
        <w:t xml:space="preserve">a </w:t>
      </w:r>
      <w:r w:rsidRPr="00D223D8">
        <w:t xml:space="preserve">redação dada pela Lei nº 9.131, de </w:t>
      </w:r>
      <w:r>
        <w:t xml:space="preserve">24 de novembro de </w:t>
      </w:r>
      <w:r w:rsidRPr="00D223D8">
        <w:t xml:space="preserve">1995, estipula que </w:t>
      </w:r>
      <w:r w:rsidR="000D0412">
        <w:t>compete à</w:t>
      </w:r>
      <w:r w:rsidRPr="00D223D8">
        <w:t xml:space="preserve"> Câmara de Educação Básica</w:t>
      </w:r>
      <w:r>
        <w:t xml:space="preserve"> (CEB)</w:t>
      </w:r>
      <w:r w:rsidRPr="00D223D8">
        <w:t xml:space="preserve"> do Conselho Nacional de Educação (CNE) deliberar sobre as diretrizes curriculares propostas pelo Ministério da Educação (MEC).</w:t>
      </w:r>
    </w:p>
    <w:p w:rsidR="006E7810" w:rsidRDefault="006E7810" w:rsidP="006E7810">
      <w:pPr>
        <w:pStyle w:val="06-Pargrafodetexto-CLG"/>
      </w:pPr>
      <w:r>
        <w:t>As Diretrizes Curriculares Nacionais do Ensino Médio, tratadas</w:t>
      </w:r>
      <w:r w:rsidR="00E41633">
        <w:t xml:space="preserve"> no Parecer</w:t>
      </w:r>
      <w:r>
        <w:t xml:space="preserve"> da CEB-CNE nº 22, de 1998, e aprovadas</w:t>
      </w:r>
      <w:r w:rsidR="00E41633">
        <w:t xml:space="preserve"> mediante a Resolução</w:t>
      </w:r>
      <w:r>
        <w:t xml:space="preserve"> da CEB-CNE nº 3, de 1998, tratam da construção da cidadania e da observação de princípios éticos como objetivos e temas gerais de todo o currículo e não como foco de atenção parcial, como tende a ocorrer com os tradicionais componentes curriculares.</w:t>
      </w:r>
    </w:p>
    <w:p w:rsidR="006E7810" w:rsidRDefault="006E7810" w:rsidP="006E7810">
      <w:pPr>
        <w:pStyle w:val="06-Pargrafodetexto-CLG"/>
      </w:pPr>
      <w:r w:rsidRPr="006552E8">
        <w:t xml:space="preserve">Nesse contexto, </w:t>
      </w:r>
      <w:r>
        <w:t>é</w:t>
      </w:r>
      <w:r w:rsidRPr="006552E8">
        <w:t xml:space="preserve"> desnecessária a existência de previsão legal para a inclusão da</w:t>
      </w:r>
      <w:r>
        <w:t>s</w:t>
      </w:r>
      <w:r w:rsidRPr="006552E8">
        <w:t xml:space="preserve"> matéria</w:t>
      </w:r>
      <w:r>
        <w:t>s</w:t>
      </w:r>
      <w:r w:rsidRPr="006552E8">
        <w:t xml:space="preserve"> em foco nos currículos do </w:t>
      </w:r>
      <w:r w:rsidR="00E41633">
        <w:t>ensino</w:t>
      </w:r>
      <w:r w:rsidRPr="006552E8">
        <w:t xml:space="preserve"> médio, tendo em vista a delegação ao CNE da </w:t>
      </w:r>
      <w:r w:rsidR="00042DF3">
        <w:t>tarefa</w:t>
      </w:r>
      <w:r w:rsidR="00042DF3" w:rsidRPr="006552E8">
        <w:t xml:space="preserve"> </w:t>
      </w:r>
      <w:r w:rsidRPr="006552E8">
        <w:t>de definição dos conteúdos curriculares mínimos</w:t>
      </w:r>
      <w:r>
        <w:t xml:space="preserve"> e a busca, por parte do </w:t>
      </w:r>
      <w:r w:rsidR="0083250D">
        <w:t>MEC</w:t>
      </w:r>
      <w:r>
        <w:t>, do estabelecimento de parâmetros e diretrizes que orientem as escolhas curriculares</w:t>
      </w:r>
      <w:r w:rsidRPr="006552E8">
        <w:t>.</w:t>
      </w:r>
    </w:p>
    <w:p w:rsidR="006E7810" w:rsidRDefault="006E7810" w:rsidP="006E7810">
      <w:pPr>
        <w:pStyle w:val="06-Pargrafodetexto-CLG"/>
      </w:pPr>
      <w:r>
        <w:t>Em suma, tais esclarecimentos sobre a legislação educacional procuram evidenciar que, uma vez definidas certas linhas curriculares gerais, não deveria o Poder Público Federal fazer constar, em lei, conteúdos a serem estudados nas escolas do País. Essa, em verdade, é uma atribuição eminentemente técnica, própria dos educadores, dos responsáveis, nos conselhos e secretarias de educação, bem como nas escolas, pela definição dos componentes curriculares, seu conteúdo e sua carga horária.</w:t>
      </w:r>
    </w:p>
    <w:p w:rsidR="00EC0A98" w:rsidRDefault="00A355FF" w:rsidP="006E7810">
      <w:pPr>
        <w:pStyle w:val="06-Pargrafodetexto-CLG"/>
      </w:pPr>
      <w:r>
        <w:t>C</w:t>
      </w:r>
      <w:r w:rsidR="00EC0A98">
        <w:t xml:space="preserve">om relação à previsão de obrigatoriedade de terem as escolas de ensino médio, no mínimo, um ponto de acesso à internet disponível para uso dos alunos, </w:t>
      </w:r>
      <w:r w:rsidR="00E41633">
        <w:t xml:space="preserve">além de </w:t>
      </w:r>
      <w:r w:rsidR="00EC0A98">
        <w:t>considera</w:t>
      </w:r>
      <w:r w:rsidR="00E41633">
        <w:t>r</w:t>
      </w:r>
      <w:r w:rsidR="00EC0A98">
        <w:t>mos a proposição adequada e de suma import</w:t>
      </w:r>
      <w:r w:rsidR="00E41633">
        <w:t>ância, sugerimos sua extensão também às escolas de ensino fundamental.</w:t>
      </w:r>
    </w:p>
    <w:p w:rsidR="008769FC" w:rsidRDefault="00EC0A98" w:rsidP="008769FC">
      <w:pPr>
        <w:pStyle w:val="06-Pargrafodetexto-CLG"/>
      </w:pPr>
      <w:r>
        <w:t xml:space="preserve">A </w:t>
      </w:r>
      <w:r w:rsidR="00E41633">
        <w:t>propósito</w:t>
      </w:r>
      <w:r>
        <w:t xml:space="preserve">, no final de 2013, </w:t>
      </w:r>
      <w:proofErr w:type="gramStart"/>
      <w:r w:rsidR="00FA5FBF">
        <w:t xml:space="preserve">cerca de </w:t>
      </w:r>
      <w:r>
        <w:t>61,6</w:t>
      </w:r>
      <w:proofErr w:type="gramEnd"/>
      <w:r>
        <w:t xml:space="preserve"> mil instituições de ensino estavam conectadas </w:t>
      </w:r>
      <w:r w:rsidR="00EE5C02">
        <w:t xml:space="preserve">à internet </w:t>
      </w:r>
      <w:r>
        <w:t xml:space="preserve">em razão do </w:t>
      </w:r>
      <w:r w:rsidR="00603E37" w:rsidRPr="00EC0A98">
        <w:t>Pro</w:t>
      </w:r>
      <w:r w:rsidR="00603E37">
        <w:t>grama</w:t>
      </w:r>
      <w:r w:rsidR="00603E37" w:rsidRPr="00EC0A98">
        <w:t xml:space="preserve"> </w:t>
      </w:r>
      <w:r w:rsidRPr="00EC0A98">
        <w:t xml:space="preserve">Banda Larga nas Escolas </w:t>
      </w:r>
      <w:r w:rsidR="00EE5C02">
        <w:t>(</w:t>
      </w:r>
      <w:r w:rsidR="008769FC">
        <w:t>PBLE</w:t>
      </w:r>
      <w:r w:rsidR="00EE5C02">
        <w:t>),</w:t>
      </w:r>
      <w:r>
        <w:t xml:space="preserve"> lançado em 2008.</w:t>
      </w:r>
      <w:r w:rsidRPr="00EC0A98">
        <w:t xml:space="preserve"> </w:t>
      </w:r>
      <w:r w:rsidR="008769FC">
        <w:t>De</w:t>
      </w:r>
      <w:r w:rsidRPr="00EC0A98">
        <w:t xml:space="preserve"> aco</w:t>
      </w:r>
      <w:r>
        <w:t>rdo com as regras estabelecidas</w:t>
      </w:r>
      <w:r w:rsidR="00E41633">
        <w:t xml:space="preserve"> no projeto</w:t>
      </w:r>
      <w:r>
        <w:t xml:space="preserve">, </w:t>
      </w:r>
      <w:r w:rsidRPr="00EC0A98">
        <w:t xml:space="preserve">todas as escolas públicas urbanas deveriam </w:t>
      </w:r>
      <w:r w:rsidR="00E41633">
        <w:t xml:space="preserve">ter sido </w:t>
      </w:r>
      <w:r w:rsidRPr="00EC0A98">
        <w:t>conectadas à internet até o</w:t>
      </w:r>
      <w:r>
        <w:t xml:space="preserve"> final de 2010, com manutenção do serviço de forma gratuita at</w:t>
      </w:r>
      <w:r w:rsidR="008769FC">
        <w:t xml:space="preserve">é 2025, </w:t>
      </w:r>
      <w:r w:rsidR="00A355FF">
        <w:t xml:space="preserve">e </w:t>
      </w:r>
      <w:r>
        <w:t xml:space="preserve">todas as escolas públicas criadas entre 2011 e </w:t>
      </w:r>
      <w:r>
        <w:lastRenderedPageBreak/>
        <w:t xml:space="preserve">2025 também deveriam ser atendidas pelo </w:t>
      </w:r>
      <w:r w:rsidR="00E41633">
        <w:t>PBLE</w:t>
      </w:r>
      <w:r>
        <w:t>. Apesar disso,</w:t>
      </w:r>
      <w:r w:rsidR="008769FC">
        <w:rPr>
          <w:rFonts w:eastAsia="MS Mincho"/>
        </w:rPr>
        <w:t xml:space="preserve"> en</w:t>
      </w:r>
      <w:r w:rsidRPr="00EC0A98">
        <w:t xml:space="preserve">tre as escolas consideradas como elegíveis pelo Censo Escolar do Instituto Nacional de Estudos e Pesquisas Educacionais Anísio Teixeira </w:t>
      </w:r>
      <w:r w:rsidR="00EE5C02">
        <w:t>(</w:t>
      </w:r>
      <w:r w:rsidR="00603E37">
        <w:t>INEP</w:t>
      </w:r>
      <w:r w:rsidR="00EE5C02">
        <w:t>)</w:t>
      </w:r>
      <w:r w:rsidR="0083250D">
        <w:t>,</w:t>
      </w:r>
      <w:r w:rsidR="008769FC">
        <w:t xml:space="preserve"> 5,5</w:t>
      </w:r>
      <w:r w:rsidR="00A355FF">
        <w:t> </w:t>
      </w:r>
      <w:r w:rsidR="008769FC">
        <w:t xml:space="preserve">mil não </w:t>
      </w:r>
      <w:proofErr w:type="gramStart"/>
      <w:r w:rsidR="008769FC">
        <w:t>haviam sido</w:t>
      </w:r>
      <w:proofErr w:type="gramEnd"/>
      <w:r w:rsidR="008769FC">
        <w:t xml:space="preserve"> conectadas</w:t>
      </w:r>
      <w:r w:rsidR="00E41633">
        <w:t xml:space="preserve"> até 2013</w:t>
      </w:r>
      <w:r w:rsidR="008769FC">
        <w:t>.</w:t>
      </w:r>
    </w:p>
    <w:p w:rsidR="008769FC" w:rsidRDefault="008769FC" w:rsidP="008769FC">
      <w:pPr>
        <w:pStyle w:val="06-Pargrafodetexto-CLG"/>
      </w:pPr>
      <w:r>
        <w:t xml:space="preserve">Para ilustrar melhor a questão, insta mencionar que, segundo o Censo Escolar </w:t>
      </w:r>
      <w:r w:rsidR="00603E37">
        <w:t xml:space="preserve">de </w:t>
      </w:r>
      <w:r>
        <w:t xml:space="preserve">2013, </w:t>
      </w:r>
      <w:r w:rsidR="00080355">
        <w:t xml:space="preserve">6,8% das escolas públicas de ensino médio não possuíam acesso à internet, </w:t>
      </w:r>
      <w:r w:rsidR="00EE5C02">
        <w:t>o que correspondia a</w:t>
      </w:r>
      <w:r w:rsidR="00080355">
        <w:t xml:space="preserve"> 3,6</w:t>
      </w:r>
      <w:r w:rsidR="0083250D">
        <w:t>% dos estudantes dess</w:t>
      </w:r>
      <w:r w:rsidR="00EE5C02">
        <w:t>a</w:t>
      </w:r>
      <w:r w:rsidR="00080355">
        <w:t xml:space="preserve"> etapa final da educação </w:t>
      </w:r>
      <w:proofErr w:type="gramStart"/>
      <w:r w:rsidR="00080355">
        <w:t>básica n</w:t>
      </w:r>
      <w:r w:rsidR="00EE5C02">
        <w:t>ão</w:t>
      </w:r>
      <w:r w:rsidR="00080355">
        <w:t xml:space="preserve"> atendidos</w:t>
      </w:r>
      <w:proofErr w:type="gramEnd"/>
      <w:r w:rsidR="00080355">
        <w:t xml:space="preserve"> com esse recurso. Muito pior é a situação do ensino fundamental, em que </w:t>
      </w:r>
      <w:r>
        <w:t>somente 47,6% das escolas públicas no País possuíam acesso à internet</w:t>
      </w:r>
      <w:r w:rsidR="00080355">
        <w:t xml:space="preserve"> em 2013</w:t>
      </w:r>
      <w:r>
        <w:t xml:space="preserve">, </w:t>
      </w:r>
      <w:r w:rsidR="00080355">
        <w:t xml:space="preserve">o </w:t>
      </w:r>
      <w:r>
        <w:t xml:space="preserve">que </w:t>
      </w:r>
      <w:r w:rsidR="00EE5C02">
        <w:t xml:space="preserve">implicava </w:t>
      </w:r>
      <w:r w:rsidR="00080355">
        <w:t xml:space="preserve">o não </w:t>
      </w:r>
      <w:r>
        <w:t xml:space="preserve">atendimento de </w:t>
      </w:r>
      <w:r w:rsidR="00080355">
        <w:t>17,7</w:t>
      </w:r>
      <w:r>
        <w:t xml:space="preserve">% dos alunos </w:t>
      </w:r>
      <w:r w:rsidR="00080355">
        <w:t xml:space="preserve">da rede pública </w:t>
      </w:r>
      <w:r w:rsidR="0083250D">
        <w:t>do ensino fundamental</w:t>
      </w:r>
      <w:r>
        <w:t>.</w:t>
      </w:r>
    </w:p>
    <w:p w:rsidR="00080355" w:rsidRPr="00B6197B" w:rsidRDefault="00080355" w:rsidP="00E41633">
      <w:pPr>
        <w:pStyle w:val="05-Pargrafodetexto-CLG"/>
        <w:rPr>
          <w:szCs w:val="23"/>
        </w:rPr>
      </w:pPr>
      <w:r w:rsidRPr="00B6197B">
        <w:rPr>
          <w:szCs w:val="23"/>
        </w:rPr>
        <w:t>Com o avanço científico-tecnológico, caracterizado pelo advento de novos suportes de informação, os estudantes p</w:t>
      </w:r>
      <w:r w:rsidR="00EE5C02">
        <w:rPr>
          <w:szCs w:val="23"/>
        </w:rPr>
        <w:t>recisam</w:t>
      </w:r>
      <w:r w:rsidRPr="00B6197B">
        <w:rPr>
          <w:szCs w:val="23"/>
        </w:rPr>
        <w:t xml:space="preserve"> ter acesso aos mais diferentes recursos multimídia e de informática, seja através d</w:t>
      </w:r>
      <w:r>
        <w:rPr>
          <w:szCs w:val="23"/>
        </w:rPr>
        <w:t xml:space="preserve">e um tradicional computador pessoal com acesso à </w:t>
      </w:r>
      <w:r w:rsidRPr="00B6197B">
        <w:rPr>
          <w:szCs w:val="23"/>
        </w:rPr>
        <w:t xml:space="preserve">internet, seja </w:t>
      </w:r>
      <w:r>
        <w:rPr>
          <w:szCs w:val="23"/>
        </w:rPr>
        <w:t>por meio</w:t>
      </w:r>
      <w:r w:rsidRPr="00B6197B">
        <w:rPr>
          <w:szCs w:val="23"/>
        </w:rPr>
        <w:t xml:space="preserve"> de um simples toque no celular, </w:t>
      </w:r>
      <w:r w:rsidRPr="00993083">
        <w:rPr>
          <w:i/>
          <w:szCs w:val="23"/>
        </w:rPr>
        <w:t>notebook</w:t>
      </w:r>
      <w:r w:rsidRPr="00B6197B">
        <w:rPr>
          <w:szCs w:val="23"/>
        </w:rPr>
        <w:t xml:space="preserve"> ou </w:t>
      </w:r>
      <w:proofErr w:type="spellStart"/>
      <w:r w:rsidRPr="00993083">
        <w:rPr>
          <w:i/>
          <w:szCs w:val="23"/>
        </w:rPr>
        <w:t>tablet</w:t>
      </w:r>
      <w:proofErr w:type="spellEnd"/>
      <w:r w:rsidRPr="00B6197B">
        <w:rPr>
          <w:szCs w:val="23"/>
        </w:rPr>
        <w:t xml:space="preserve">. Assim, </w:t>
      </w:r>
      <w:r>
        <w:rPr>
          <w:szCs w:val="23"/>
        </w:rPr>
        <w:t xml:space="preserve">é de se esperar que </w:t>
      </w:r>
      <w:r w:rsidR="00E41633">
        <w:rPr>
          <w:szCs w:val="23"/>
        </w:rPr>
        <w:t>as escolas sejam atendidas em</w:t>
      </w:r>
      <w:r w:rsidR="00EE5C02">
        <w:rPr>
          <w:szCs w:val="23"/>
        </w:rPr>
        <w:t xml:space="preserve"> sua totalidade com internet </w:t>
      </w:r>
      <w:r w:rsidR="00E41633">
        <w:rPr>
          <w:szCs w:val="23"/>
        </w:rPr>
        <w:t xml:space="preserve">banda larga, </w:t>
      </w:r>
      <w:r w:rsidRPr="00B6197B">
        <w:rPr>
          <w:szCs w:val="23"/>
        </w:rPr>
        <w:t>na medida em que propiciarão aos alunos contato com as novas tecnologias, incluindo-</w:t>
      </w:r>
      <w:r w:rsidR="00603E37">
        <w:rPr>
          <w:szCs w:val="23"/>
        </w:rPr>
        <w:t>o</w:t>
      </w:r>
      <w:r w:rsidR="00603E37" w:rsidRPr="00B6197B">
        <w:rPr>
          <w:szCs w:val="23"/>
        </w:rPr>
        <w:t xml:space="preserve">s </w:t>
      </w:r>
      <w:r w:rsidRPr="00B6197B">
        <w:rPr>
          <w:szCs w:val="23"/>
        </w:rPr>
        <w:t>na era digital e situando-os na</w:t>
      </w:r>
      <w:r w:rsidR="00EE5C02">
        <w:rPr>
          <w:szCs w:val="23"/>
        </w:rPr>
        <w:t xml:space="preserve"> fronteira do conhecimento. As tecnologias da informação</w:t>
      </w:r>
      <w:r w:rsidRPr="00B6197B">
        <w:rPr>
          <w:szCs w:val="23"/>
        </w:rPr>
        <w:t xml:space="preserve">, </w:t>
      </w:r>
      <w:r>
        <w:rPr>
          <w:szCs w:val="23"/>
        </w:rPr>
        <w:t xml:space="preserve">uma vez </w:t>
      </w:r>
      <w:r w:rsidRPr="00B6197B">
        <w:rPr>
          <w:szCs w:val="23"/>
        </w:rPr>
        <w:t xml:space="preserve">entendidas como ferramentas auxiliares no processo ensino-aprendizagem, contribuirão para diminuir a distância entre </w:t>
      </w:r>
      <w:r>
        <w:rPr>
          <w:szCs w:val="23"/>
        </w:rPr>
        <w:t xml:space="preserve">as </w:t>
      </w:r>
      <w:r w:rsidRPr="00B6197B">
        <w:rPr>
          <w:szCs w:val="18"/>
        </w:rPr>
        <w:t xml:space="preserve">classes sociais mais abastadas e as menos favorecidas, no que diz respeito à educação e </w:t>
      </w:r>
      <w:r>
        <w:rPr>
          <w:szCs w:val="18"/>
        </w:rPr>
        <w:t xml:space="preserve">à </w:t>
      </w:r>
      <w:r w:rsidRPr="00B6197B">
        <w:rPr>
          <w:szCs w:val="18"/>
        </w:rPr>
        <w:t>informação.</w:t>
      </w:r>
    </w:p>
    <w:p w:rsidR="00080355" w:rsidRDefault="00080355" w:rsidP="00080355">
      <w:pPr>
        <w:pStyle w:val="05-Pargrafodetexto-CLG"/>
      </w:pPr>
      <w:r w:rsidRPr="00B6197B">
        <w:rPr>
          <w:szCs w:val="24"/>
        </w:rPr>
        <w:t xml:space="preserve">Outro fator a considerar é que, </w:t>
      </w:r>
      <w:r>
        <w:rPr>
          <w:szCs w:val="23"/>
        </w:rPr>
        <w:t>além d</w:t>
      </w:r>
      <w:r w:rsidRPr="00B6197B">
        <w:rPr>
          <w:szCs w:val="23"/>
        </w:rPr>
        <w:t>a</w:t>
      </w:r>
      <w:r w:rsidRPr="00B6197B">
        <w:t xml:space="preserve"> meta </w:t>
      </w:r>
      <w:r>
        <w:t>de</w:t>
      </w:r>
      <w:r w:rsidRPr="00B6197B">
        <w:t xml:space="preserve"> qualidade do processo de ensino-aprendizagem, </w:t>
      </w:r>
      <w:r>
        <w:t xml:space="preserve">a medida proposta contempla </w:t>
      </w:r>
      <w:r w:rsidRPr="00B6197B">
        <w:t>o letramento digital</w:t>
      </w:r>
      <w:r>
        <w:t xml:space="preserve">, a nosso ver, </w:t>
      </w:r>
      <w:r w:rsidRPr="00B6197B">
        <w:t>decorrência natura</w:t>
      </w:r>
      <w:r w:rsidR="00E41633">
        <w:t>l da utilização frequente de</w:t>
      </w:r>
      <w:r w:rsidRPr="00B6197B">
        <w:t xml:space="preserve"> tecnologias</w:t>
      </w:r>
      <w:r>
        <w:t>. Com isso, será superada a condição de excluídos digitais que hoje assola parcela expressiva de nossos estudantes.</w:t>
      </w:r>
    </w:p>
    <w:p w:rsidR="003A1E97" w:rsidRPr="000B5D9F" w:rsidRDefault="00FE78F0" w:rsidP="006E7810">
      <w:pPr>
        <w:pStyle w:val="06-Pargrafodetexto-CLG"/>
      </w:pPr>
      <w:r w:rsidRPr="000B5D9F">
        <w:t xml:space="preserve">Assim, nos limites da competência regimental da CDH, concluímos que </w:t>
      </w:r>
      <w:r w:rsidR="000B5D9F" w:rsidRPr="000B5D9F">
        <w:t xml:space="preserve">deve ser debatida e aperfeiçoada no Senado Federal, na forma do substitutivo apresentado, </w:t>
      </w:r>
      <w:r w:rsidRPr="000B5D9F">
        <w:t xml:space="preserve">a </w:t>
      </w:r>
      <w:r w:rsidR="000B5D9F" w:rsidRPr="000B5D9F">
        <w:t xml:space="preserve">sugestão dos jovens senadores de tornar obrigatória </w:t>
      </w:r>
      <w:r w:rsidR="00EE5C02">
        <w:t xml:space="preserve">nas escolas </w:t>
      </w:r>
      <w:proofErr w:type="gramStart"/>
      <w:r w:rsidR="000B5D9F" w:rsidRPr="000B5D9F">
        <w:t>a</w:t>
      </w:r>
      <w:proofErr w:type="gramEnd"/>
      <w:r w:rsidR="000B5D9F" w:rsidRPr="000B5D9F">
        <w:t xml:space="preserve"> </w:t>
      </w:r>
      <w:r w:rsidR="003D1DED">
        <w:t>disponibilidade</w:t>
      </w:r>
      <w:r w:rsidR="003D1DED" w:rsidRPr="000B5D9F">
        <w:t xml:space="preserve"> </w:t>
      </w:r>
      <w:r w:rsidR="000B5D9F" w:rsidRPr="000B5D9F">
        <w:t xml:space="preserve">de ponto de acesso à internet </w:t>
      </w:r>
      <w:r w:rsidR="00EE5C02">
        <w:t>para os alunos</w:t>
      </w:r>
      <w:r w:rsidRPr="000B5D9F">
        <w:t>.</w:t>
      </w:r>
    </w:p>
    <w:p w:rsidR="003A1E97" w:rsidRDefault="003A1E97" w:rsidP="0039123D">
      <w:pPr>
        <w:pStyle w:val="05-Subttulo-CLG"/>
        <w:keepNext/>
      </w:pPr>
      <w:r>
        <w:lastRenderedPageBreak/>
        <w:t>III – VOTO</w:t>
      </w:r>
    </w:p>
    <w:p w:rsidR="000B5D9F" w:rsidRDefault="000B5D9F" w:rsidP="00A32197">
      <w:pPr>
        <w:pStyle w:val="05-Pargrafodetexto-CLG"/>
      </w:pPr>
      <w:r w:rsidRPr="004D05FF">
        <w:t>Diante do exposto, o voto é pela APROVAÇÃO</w:t>
      </w:r>
      <w:r w:rsidR="00A32197">
        <w:t xml:space="preserve"> da </w:t>
      </w:r>
      <w:r w:rsidR="003D1DED">
        <w:t>Sug</w:t>
      </w:r>
      <w:r w:rsidR="002867E6">
        <w:t>e</w:t>
      </w:r>
      <w:r w:rsidR="003D1DED">
        <w:t xml:space="preserve">stão </w:t>
      </w:r>
      <w:r w:rsidR="00A32197">
        <w:t xml:space="preserve">nº 3, de 2014, nos termos do seguinte </w:t>
      </w:r>
      <w:r w:rsidR="0039123D">
        <w:t>projeto</w:t>
      </w:r>
      <w:r w:rsidR="00A32197">
        <w:t>:</w:t>
      </w:r>
    </w:p>
    <w:p w:rsidR="000B5D9F" w:rsidRPr="006617BF" w:rsidRDefault="000B5D9F" w:rsidP="000B5D9F">
      <w:pPr>
        <w:pStyle w:val="02-TtuloPrincipal-CLG"/>
        <w:suppressAutoHyphens/>
      </w:pPr>
      <w:r w:rsidRPr="006617BF">
        <w:t xml:space="preserve">PROJETO DE LEI DO </w:t>
      </w:r>
      <w:r w:rsidRPr="006617BF">
        <w:rPr>
          <w:rFonts w:eastAsia="Arial"/>
          <w:lang w:eastAsia="ar-SA"/>
        </w:rPr>
        <w:t>SENADO</w:t>
      </w:r>
      <w:r w:rsidRPr="006617BF">
        <w:t xml:space="preserve"> </w:t>
      </w:r>
      <w:proofErr w:type="gramStart"/>
      <w:r w:rsidRPr="006617BF">
        <w:t>Nº      ,</w:t>
      </w:r>
      <w:proofErr w:type="gramEnd"/>
      <w:r w:rsidRPr="006617BF">
        <w:t xml:space="preserve"> DE </w:t>
      </w:r>
      <w:r w:rsidR="003D1DED" w:rsidRPr="006617BF">
        <w:t>201</w:t>
      </w:r>
      <w:r w:rsidR="003D1DED">
        <w:t>5</w:t>
      </w:r>
    </w:p>
    <w:p w:rsidR="000B5D9F" w:rsidRPr="006617BF" w:rsidRDefault="000B5D9F" w:rsidP="000B5D9F">
      <w:pPr>
        <w:pStyle w:val="03-Ementa-CLG"/>
        <w:suppressAutoHyphens/>
        <w:rPr>
          <w:szCs w:val="11"/>
        </w:rPr>
      </w:pPr>
      <w:r>
        <w:t>Dispõe sobre a obrigatoriedade da disponibilidade de acesso à internet para os alunos nas escolas</w:t>
      </w:r>
      <w:r w:rsidR="00A32197">
        <w:t xml:space="preserve"> de ensino fundamental e médio das redes pública e privada</w:t>
      </w:r>
      <w:r w:rsidRPr="006617BF">
        <w:t>.</w:t>
      </w:r>
    </w:p>
    <w:p w:rsidR="000B5D9F" w:rsidRPr="006617BF" w:rsidRDefault="000B5D9F" w:rsidP="000B5D9F">
      <w:pPr>
        <w:pStyle w:val="05-Pargrafodetexto-CLG"/>
      </w:pPr>
      <w:r w:rsidRPr="006617BF">
        <w:t>O CONGRESSO NACIONAL decreta:</w:t>
      </w:r>
    </w:p>
    <w:p w:rsidR="000B5D9F" w:rsidRDefault="000B5D9F" w:rsidP="000B5D9F">
      <w:pPr>
        <w:pStyle w:val="05-Pargrafodetexto-CLG"/>
        <w:spacing w:after="240"/>
        <w:rPr>
          <w:iCs/>
        </w:rPr>
      </w:pPr>
      <w:r w:rsidRPr="006617BF">
        <w:rPr>
          <w:b/>
        </w:rPr>
        <w:t>Art. 1º</w:t>
      </w:r>
      <w:r w:rsidRPr="006617BF">
        <w:t xml:space="preserve"> </w:t>
      </w:r>
      <w:r>
        <w:rPr>
          <w:iCs/>
        </w:rPr>
        <w:t xml:space="preserve">Toda escola </w:t>
      </w:r>
      <w:r w:rsidR="00A32197">
        <w:rPr>
          <w:iCs/>
        </w:rPr>
        <w:t xml:space="preserve">de ensino fundamental </w:t>
      </w:r>
      <w:r w:rsidR="003D1DED">
        <w:rPr>
          <w:iCs/>
        </w:rPr>
        <w:t xml:space="preserve">ou de ensino </w:t>
      </w:r>
      <w:r w:rsidR="00A32197">
        <w:rPr>
          <w:iCs/>
        </w:rPr>
        <w:t xml:space="preserve">médio das redes pública e privada </w:t>
      </w:r>
      <w:r w:rsidR="003D1DED">
        <w:rPr>
          <w:iCs/>
        </w:rPr>
        <w:t>assegurará</w:t>
      </w:r>
      <w:r>
        <w:rPr>
          <w:iCs/>
        </w:rPr>
        <w:t xml:space="preserve"> acesso à internet aos seus alunos</w:t>
      </w:r>
      <w:r w:rsidRPr="006617BF">
        <w:rPr>
          <w:iCs/>
        </w:rPr>
        <w:t>.</w:t>
      </w:r>
    </w:p>
    <w:p w:rsidR="00EE5C02" w:rsidRPr="00EE5C02" w:rsidRDefault="00EE5C02" w:rsidP="000B5D9F">
      <w:pPr>
        <w:pStyle w:val="05-Pargrafodetexto-CLG"/>
        <w:spacing w:after="240"/>
        <w:rPr>
          <w:iCs/>
        </w:rPr>
      </w:pPr>
      <w:r>
        <w:rPr>
          <w:i/>
          <w:iCs/>
        </w:rPr>
        <w:t>Parágrafo único.</w:t>
      </w:r>
      <w:r>
        <w:rPr>
          <w:iCs/>
        </w:rPr>
        <w:t xml:space="preserve"> Os estudantes somente poderão utilizar a internet nas escolas </w:t>
      </w:r>
      <w:r w:rsidR="00D745A0">
        <w:rPr>
          <w:iCs/>
        </w:rPr>
        <w:t>para fins educacionais.</w:t>
      </w:r>
    </w:p>
    <w:p w:rsidR="000B5D9F" w:rsidRPr="006617BF" w:rsidRDefault="000B5D9F" w:rsidP="000B5D9F">
      <w:pPr>
        <w:pStyle w:val="05-Pargrafodetexto-CLG"/>
        <w:spacing w:after="240"/>
        <w:rPr>
          <w:iCs/>
        </w:rPr>
      </w:pPr>
      <w:r w:rsidRPr="006617BF">
        <w:rPr>
          <w:b/>
          <w:iCs/>
        </w:rPr>
        <w:t xml:space="preserve">Art. </w:t>
      </w:r>
      <w:r w:rsidR="00A32197">
        <w:rPr>
          <w:b/>
          <w:iCs/>
        </w:rPr>
        <w:t>2</w:t>
      </w:r>
      <w:r w:rsidRPr="006617BF">
        <w:rPr>
          <w:b/>
          <w:iCs/>
        </w:rPr>
        <w:t>º</w:t>
      </w:r>
      <w:r w:rsidRPr="006617BF">
        <w:rPr>
          <w:iCs/>
        </w:rPr>
        <w:t xml:space="preserve"> Esta Lei entra em vigor na data de sua publicação.</w:t>
      </w:r>
    </w:p>
    <w:p w:rsidR="000B5D9F" w:rsidRPr="006617BF" w:rsidRDefault="000B5D9F" w:rsidP="000B5D9F">
      <w:pPr>
        <w:pStyle w:val="05-Pargrafodetexto-CLG"/>
        <w:spacing w:before="600" w:after="480"/>
        <w:ind w:firstLine="0"/>
        <w:jc w:val="center"/>
        <w:rPr>
          <w:b/>
          <w:bCs/>
        </w:rPr>
      </w:pPr>
      <w:r w:rsidRPr="006617BF">
        <w:rPr>
          <w:b/>
          <w:bCs/>
        </w:rPr>
        <w:t>JUSTIFICAÇÃO</w:t>
      </w:r>
    </w:p>
    <w:p w:rsidR="00A32197" w:rsidRDefault="00EE5C02" w:rsidP="00A32197">
      <w:pPr>
        <w:pStyle w:val="06-Pargrafodetexto-CLG"/>
      </w:pPr>
      <w:r>
        <w:t>N</w:t>
      </w:r>
      <w:r w:rsidR="00A32197">
        <w:t xml:space="preserve">o final de 2013, </w:t>
      </w:r>
      <w:proofErr w:type="gramStart"/>
      <w:r w:rsidR="003D1DED">
        <w:t xml:space="preserve">cerca de </w:t>
      </w:r>
      <w:r w:rsidR="00A32197">
        <w:t>61,6</w:t>
      </w:r>
      <w:proofErr w:type="gramEnd"/>
      <w:r w:rsidR="00A32197">
        <w:t xml:space="preserve"> mil instituições de ensino estavam conectadas </w:t>
      </w:r>
      <w:r w:rsidR="003D1DED">
        <w:t xml:space="preserve">à internet </w:t>
      </w:r>
      <w:r w:rsidR="00A32197">
        <w:t xml:space="preserve">em razão do </w:t>
      </w:r>
      <w:r w:rsidR="00A32197" w:rsidRPr="00EC0A98">
        <w:t xml:space="preserve">Projeto Banda Larga nas Escolas </w:t>
      </w:r>
      <w:r>
        <w:t>(PBLE)</w:t>
      </w:r>
      <w:r w:rsidR="00A32197">
        <w:t xml:space="preserve"> lançado em 2008.</w:t>
      </w:r>
      <w:r w:rsidR="00A32197" w:rsidRPr="00EC0A98">
        <w:t xml:space="preserve"> </w:t>
      </w:r>
      <w:r w:rsidR="00A32197">
        <w:t>De</w:t>
      </w:r>
      <w:r w:rsidR="00A32197" w:rsidRPr="00EC0A98">
        <w:t xml:space="preserve"> aco</w:t>
      </w:r>
      <w:r w:rsidR="00A32197">
        <w:t xml:space="preserve">rdo com as regras estabelecidas no projeto, </w:t>
      </w:r>
      <w:r w:rsidR="00A32197" w:rsidRPr="00EC0A98">
        <w:t xml:space="preserve">todas as escolas públicas urbanas deveriam </w:t>
      </w:r>
      <w:r w:rsidR="00A32197">
        <w:t xml:space="preserve">ter sido </w:t>
      </w:r>
      <w:r w:rsidR="00A32197" w:rsidRPr="00EC0A98">
        <w:t>conectadas à internet até o</w:t>
      </w:r>
      <w:r w:rsidR="00A32197">
        <w:t xml:space="preserve"> final de 2010, com manutenção do serviço de forma gratuita até 2025, bem como havia previsão de que todas as escolas públicas criadas entre 2011 e 2025 também deveriam ser atendidas pelo PBLE. Apesar disso,</w:t>
      </w:r>
      <w:r w:rsidR="00A32197">
        <w:rPr>
          <w:rFonts w:eastAsia="MS Mincho"/>
        </w:rPr>
        <w:t xml:space="preserve"> en</w:t>
      </w:r>
      <w:r w:rsidR="00A32197" w:rsidRPr="00EC0A98">
        <w:t xml:space="preserve">tre as escolas consideradas como elegíveis pelo Censo Escolar do Instituto Nacional de Estudos e Pesquisas Educacionais Anísio Teixeira </w:t>
      </w:r>
      <w:r>
        <w:t>(</w:t>
      </w:r>
      <w:r w:rsidR="003D1DED">
        <w:t>INEP</w:t>
      </w:r>
      <w:r>
        <w:t>)</w:t>
      </w:r>
      <w:r w:rsidR="0083250D">
        <w:t>,</w:t>
      </w:r>
      <w:r>
        <w:t xml:space="preserve"> </w:t>
      </w:r>
      <w:r w:rsidR="00A32197">
        <w:t xml:space="preserve">5,5 mil não </w:t>
      </w:r>
      <w:proofErr w:type="gramStart"/>
      <w:r w:rsidR="00A32197">
        <w:t>haviam sido</w:t>
      </w:r>
      <w:proofErr w:type="gramEnd"/>
      <w:r w:rsidR="00A32197">
        <w:t xml:space="preserve"> conectadas até 2013.</w:t>
      </w:r>
    </w:p>
    <w:p w:rsidR="00A32197" w:rsidRDefault="00A32197" w:rsidP="00A32197">
      <w:pPr>
        <w:pStyle w:val="06-Pargrafodetexto-CLG"/>
      </w:pPr>
      <w:r>
        <w:t xml:space="preserve">Para ilustrar melhor a questão, insta mencionar que, segundo o Censo Escolar 2013, 6,8% das escolas públicas de ensino médio não possuíam acesso à internet, sendo que 3,6% dos estudantes da etapa final </w:t>
      </w:r>
      <w:r>
        <w:lastRenderedPageBreak/>
        <w:t xml:space="preserve">da educação básica não eram atendidos com esse recurso. Muito pior é a situação do ensino fundamental, em que somente 47,6% das escolas públicas no País possuíam acesso à internet em 2013, o que implicava no não atendimento de 17,7% dos alunos da rede pública </w:t>
      </w:r>
      <w:r w:rsidR="0083250D">
        <w:t>do ensino fundamental.</w:t>
      </w:r>
    </w:p>
    <w:p w:rsidR="00A32197" w:rsidRPr="00B6197B" w:rsidRDefault="00A32197" w:rsidP="00A32197">
      <w:pPr>
        <w:pStyle w:val="05-Pargrafodetexto-CLG"/>
        <w:rPr>
          <w:szCs w:val="23"/>
        </w:rPr>
      </w:pPr>
      <w:r w:rsidRPr="00B6197B">
        <w:rPr>
          <w:szCs w:val="23"/>
        </w:rPr>
        <w:t>Com o avanço científico-tecnológico, caracterizado pelo advento de novos suportes de informação, os estudantes podem ter acesso aos mais diferentes recursos multimídia e de informática, seja através d</w:t>
      </w:r>
      <w:r>
        <w:rPr>
          <w:szCs w:val="23"/>
        </w:rPr>
        <w:t xml:space="preserve">e um tradicional computador pessoal com acesso à </w:t>
      </w:r>
      <w:r w:rsidRPr="00B6197B">
        <w:rPr>
          <w:szCs w:val="23"/>
        </w:rPr>
        <w:t xml:space="preserve">internet, seja </w:t>
      </w:r>
      <w:r>
        <w:rPr>
          <w:szCs w:val="23"/>
        </w:rPr>
        <w:t>por meio</w:t>
      </w:r>
      <w:r w:rsidRPr="00B6197B">
        <w:rPr>
          <w:szCs w:val="23"/>
        </w:rPr>
        <w:t xml:space="preserve"> de um simples toque no celular, </w:t>
      </w:r>
      <w:r w:rsidRPr="00993083">
        <w:rPr>
          <w:i/>
          <w:szCs w:val="23"/>
        </w:rPr>
        <w:t>notebook</w:t>
      </w:r>
      <w:r w:rsidRPr="00B6197B">
        <w:rPr>
          <w:szCs w:val="23"/>
        </w:rPr>
        <w:t xml:space="preserve"> ou </w:t>
      </w:r>
      <w:proofErr w:type="spellStart"/>
      <w:r w:rsidRPr="00993083">
        <w:rPr>
          <w:i/>
          <w:szCs w:val="23"/>
        </w:rPr>
        <w:t>tablet</w:t>
      </w:r>
      <w:proofErr w:type="spellEnd"/>
      <w:r w:rsidRPr="00B6197B">
        <w:rPr>
          <w:szCs w:val="23"/>
        </w:rPr>
        <w:t xml:space="preserve">. Assim, </w:t>
      </w:r>
      <w:r>
        <w:rPr>
          <w:szCs w:val="23"/>
        </w:rPr>
        <w:t xml:space="preserve">é de se esperar que as escolas sejam atendidas em sua totalidade com internet de banda larga, </w:t>
      </w:r>
      <w:r w:rsidRPr="00B6197B">
        <w:rPr>
          <w:szCs w:val="23"/>
        </w:rPr>
        <w:t>na medida em que propiciarão aos alunos contato com as novas tecnologias, incluindo-</w:t>
      </w:r>
      <w:r w:rsidR="003D1DED">
        <w:rPr>
          <w:szCs w:val="23"/>
        </w:rPr>
        <w:t>o</w:t>
      </w:r>
      <w:r w:rsidR="003D1DED" w:rsidRPr="00B6197B">
        <w:rPr>
          <w:szCs w:val="23"/>
        </w:rPr>
        <w:t xml:space="preserve">s </w:t>
      </w:r>
      <w:r w:rsidRPr="00B6197B">
        <w:rPr>
          <w:szCs w:val="23"/>
        </w:rPr>
        <w:t xml:space="preserve">na era digital e situando-os na fronteira do conhecimento. </w:t>
      </w:r>
      <w:r w:rsidR="003D1DED">
        <w:rPr>
          <w:szCs w:val="23"/>
        </w:rPr>
        <w:t>Essas tecnologias,</w:t>
      </w:r>
      <w:r w:rsidRPr="00B6197B">
        <w:rPr>
          <w:szCs w:val="23"/>
        </w:rPr>
        <w:t xml:space="preserve"> </w:t>
      </w:r>
      <w:r>
        <w:rPr>
          <w:szCs w:val="23"/>
        </w:rPr>
        <w:t xml:space="preserve">uma vez </w:t>
      </w:r>
      <w:r w:rsidRPr="00B6197B">
        <w:rPr>
          <w:szCs w:val="23"/>
        </w:rPr>
        <w:t xml:space="preserve">entendidas como ferramentas auxiliares no processo ensino-aprendizagem, contribuirão para diminuir a distância entre </w:t>
      </w:r>
      <w:r>
        <w:rPr>
          <w:szCs w:val="23"/>
        </w:rPr>
        <w:t xml:space="preserve">as </w:t>
      </w:r>
      <w:r w:rsidRPr="00B6197B">
        <w:rPr>
          <w:szCs w:val="18"/>
        </w:rPr>
        <w:t xml:space="preserve">classes sociais mais abastadas e as menos favorecidas, no que diz respeito à educação e </w:t>
      </w:r>
      <w:r>
        <w:rPr>
          <w:szCs w:val="18"/>
        </w:rPr>
        <w:t xml:space="preserve">à </w:t>
      </w:r>
      <w:r w:rsidRPr="00B6197B">
        <w:rPr>
          <w:szCs w:val="18"/>
        </w:rPr>
        <w:t>informação.</w:t>
      </w:r>
    </w:p>
    <w:p w:rsidR="00A32197" w:rsidRDefault="00A32197" w:rsidP="00A32197">
      <w:pPr>
        <w:pStyle w:val="05-Pargrafodetexto-CLG"/>
      </w:pPr>
      <w:r w:rsidRPr="00B6197B">
        <w:rPr>
          <w:szCs w:val="24"/>
        </w:rPr>
        <w:t xml:space="preserve">Outro fator a considerar é que, </w:t>
      </w:r>
      <w:r>
        <w:rPr>
          <w:szCs w:val="23"/>
        </w:rPr>
        <w:t>além d</w:t>
      </w:r>
      <w:r w:rsidRPr="00B6197B">
        <w:rPr>
          <w:szCs w:val="23"/>
        </w:rPr>
        <w:t>a</w:t>
      </w:r>
      <w:r w:rsidRPr="00B6197B">
        <w:t xml:space="preserve"> meta </w:t>
      </w:r>
      <w:r>
        <w:t>de</w:t>
      </w:r>
      <w:r w:rsidRPr="00B6197B">
        <w:t xml:space="preserve"> qualidade do processo de ensino-aprendizagem, </w:t>
      </w:r>
      <w:r>
        <w:t xml:space="preserve">a medida proposta contempla </w:t>
      </w:r>
      <w:r w:rsidRPr="00B6197B">
        <w:t>o letramento digital</w:t>
      </w:r>
      <w:r>
        <w:t xml:space="preserve">, </w:t>
      </w:r>
      <w:r w:rsidRPr="00B6197B">
        <w:t>decorrência natura</w:t>
      </w:r>
      <w:r>
        <w:t>l da utilização frequente de</w:t>
      </w:r>
      <w:r w:rsidRPr="00B6197B">
        <w:t xml:space="preserve"> tecnologias</w:t>
      </w:r>
      <w:r>
        <w:t>. Com isso, será superada a condição de excluídos digitais que hoje assola parcela expressiva de nossos estudantes.</w:t>
      </w:r>
    </w:p>
    <w:p w:rsidR="00A32197" w:rsidRDefault="00A32197" w:rsidP="00A32197">
      <w:pPr>
        <w:pStyle w:val="05-Pargrafodetexto-CLG"/>
      </w:pPr>
      <w:r>
        <w:rPr>
          <w:szCs w:val="23"/>
        </w:rPr>
        <w:t xml:space="preserve">Feitos esses apontamentos, considerando a relevância social e educacional deste projeto, </w:t>
      </w:r>
      <w:r>
        <w:t>contamos com o apoio dos nobres Pares para a sua aprovação.</w:t>
      </w:r>
    </w:p>
    <w:p w:rsidR="003A1E97" w:rsidRDefault="003A1E97" w:rsidP="003A1E97">
      <w:pPr>
        <w:pStyle w:val="10-Local-CLG"/>
      </w:pPr>
      <w:r>
        <w:t>Sala da Comissão,</w:t>
      </w:r>
      <w:r w:rsidR="007606EE">
        <w:t xml:space="preserve"> 29 de abril de 2015.</w:t>
      </w:r>
    </w:p>
    <w:p w:rsidR="003A1E97" w:rsidRPr="00724990" w:rsidRDefault="005E2D23" w:rsidP="005E2D23">
      <w:pPr>
        <w:pStyle w:val="11-Assinaturas-CLG"/>
        <w:ind w:left="0"/>
        <w:jc w:val="right"/>
      </w:pPr>
      <w:r>
        <w:t>Senador Paulo Paim</w:t>
      </w:r>
      <w:r w:rsidR="003A1E97">
        <w:t xml:space="preserve">, </w:t>
      </w:r>
      <w:proofErr w:type="gramStart"/>
      <w:r w:rsidR="003A1E97">
        <w:t>Presidente</w:t>
      </w:r>
      <w:proofErr w:type="gramEnd"/>
    </w:p>
    <w:p w:rsidR="00012BCB" w:rsidRPr="003A1E97" w:rsidRDefault="005E2D23" w:rsidP="005E2D23">
      <w:pPr>
        <w:pStyle w:val="11-Assinaturas-CLG"/>
        <w:ind w:left="0"/>
        <w:jc w:val="right"/>
      </w:pPr>
      <w:r>
        <w:t>Senador Eduardo Amorim</w:t>
      </w:r>
      <w:r w:rsidR="003A1E97">
        <w:t>, Relator</w:t>
      </w:r>
    </w:p>
    <w:sectPr w:rsidR="00012BCB" w:rsidRPr="003A1E97" w:rsidSect="003A1E97">
      <w:headerReference w:type="even" r:id="rId7"/>
      <w:head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05" w:rsidRDefault="00F37705" w:rsidP="003A1E97">
      <w:pPr>
        <w:spacing w:after="0" w:line="240" w:lineRule="auto"/>
      </w:pPr>
      <w:r>
        <w:separator/>
      </w:r>
    </w:p>
  </w:endnote>
  <w:endnote w:type="continuationSeparator" w:id="0">
    <w:p w:rsidR="00F37705" w:rsidRDefault="00F37705" w:rsidP="003A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AC" w:rsidRPr="00342E7D" w:rsidRDefault="008D42AC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05" w:rsidRDefault="00F37705" w:rsidP="003A1E97">
      <w:pPr>
        <w:spacing w:after="0" w:line="240" w:lineRule="auto"/>
      </w:pPr>
      <w:r>
        <w:separator/>
      </w:r>
    </w:p>
  </w:footnote>
  <w:footnote w:type="continuationSeparator" w:id="0">
    <w:p w:rsidR="00F37705" w:rsidRDefault="00F37705" w:rsidP="003A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AC" w:rsidRDefault="001C3BCA" w:rsidP="003A1E9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2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2AC" w:rsidRDefault="008D42AC">
    <w:pPr>
      <w:pStyle w:val="Cabealho"/>
      <w:ind w:right="360"/>
    </w:pPr>
  </w:p>
  <w:p w:rsidR="008D42AC" w:rsidRDefault="008D42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AC" w:rsidRDefault="001C3BCA" w:rsidP="003A1E9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2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06E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D42AC" w:rsidRDefault="008D42AC">
    <w:pPr>
      <w:pStyle w:val="Cabealho"/>
      <w:ind w:right="360"/>
    </w:pPr>
  </w:p>
  <w:p w:rsidR="008D42AC" w:rsidRDefault="008D42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E97"/>
    <w:rsid w:val="00012BCB"/>
    <w:rsid w:val="00042DF3"/>
    <w:rsid w:val="00080355"/>
    <w:rsid w:val="000B5D9F"/>
    <w:rsid w:val="000D0412"/>
    <w:rsid w:val="000F5817"/>
    <w:rsid w:val="00110649"/>
    <w:rsid w:val="00194567"/>
    <w:rsid w:val="001C3BCA"/>
    <w:rsid w:val="001F4AEB"/>
    <w:rsid w:val="002867E6"/>
    <w:rsid w:val="00326683"/>
    <w:rsid w:val="0039123D"/>
    <w:rsid w:val="003A1E97"/>
    <w:rsid w:val="003D1DED"/>
    <w:rsid w:val="003D54F6"/>
    <w:rsid w:val="004742F3"/>
    <w:rsid w:val="005458F7"/>
    <w:rsid w:val="005E2D23"/>
    <w:rsid w:val="005E67FE"/>
    <w:rsid w:val="00603E37"/>
    <w:rsid w:val="00626537"/>
    <w:rsid w:val="006E7810"/>
    <w:rsid w:val="00703022"/>
    <w:rsid w:val="007606EE"/>
    <w:rsid w:val="0083250D"/>
    <w:rsid w:val="008769FC"/>
    <w:rsid w:val="008D42AC"/>
    <w:rsid w:val="00A13EA8"/>
    <w:rsid w:val="00A32197"/>
    <w:rsid w:val="00A355FF"/>
    <w:rsid w:val="00A37B14"/>
    <w:rsid w:val="00C63EBD"/>
    <w:rsid w:val="00CF4622"/>
    <w:rsid w:val="00D745A0"/>
    <w:rsid w:val="00DA21E2"/>
    <w:rsid w:val="00DA2499"/>
    <w:rsid w:val="00DC6728"/>
    <w:rsid w:val="00DE4220"/>
    <w:rsid w:val="00E32BDB"/>
    <w:rsid w:val="00E41633"/>
    <w:rsid w:val="00EA5C2C"/>
    <w:rsid w:val="00EC070F"/>
    <w:rsid w:val="00EC0A98"/>
    <w:rsid w:val="00EE5099"/>
    <w:rsid w:val="00EE5C02"/>
    <w:rsid w:val="00F37705"/>
    <w:rsid w:val="00F72D08"/>
    <w:rsid w:val="00F9358A"/>
    <w:rsid w:val="00FA5FBF"/>
    <w:rsid w:val="00FE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A1E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3A1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3A1E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semiHidden/>
    <w:rsid w:val="003A1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semiHidden/>
    <w:rsid w:val="003A1E97"/>
  </w:style>
  <w:style w:type="paragraph" w:customStyle="1" w:styleId="01-Minuta-CLG">
    <w:name w:val="01 - Minuta - CLG"/>
    <w:link w:val="01-Minuta-CLGChar"/>
    <w:rsid w:val="003A1E97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3A1E97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3A1E97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rsid w:val="003A1E97"/>
    <w:rPr>
      <w:rFonts w:ascii="Times New Roman" w:eastAsia="Arial Unicode MS" w:hAnsi="Times New Roman"/>
      <w:sz w:val="24"/>
      <w:szCs w:val="24"/>
      <w:lang w:eastAsia="pt-BR" w:bidi="ar-SA"/>
    </w:rPr>
  </w:style>
  <w:style w:type="paragraph" w:customStyle="1" w:styleId="04-Relatoria-CLG">
    <w:name w:val="04 - Relatoria - CLG"/>
    <w:link w:val="04-Relatoria-CLGChar"/>
    <w:rsid w:val="003A1E97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3A1E97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3A1E97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link w:val="01-Minuta-CLG"/>
    <w:rsid w:val="003A1E97"/>
    <w:rPr>
      <w:rFonts w:ascii="Times New Roman" w:eastAsia="Times New Roman" w:hAnsi="Times New Roman"/>
      <w:sz w:val="24"/>
      <w:lang w:eastAsia="pt-BR" w:bidi="ar-SA"/>
    </w:rPr>
  </w:style>
  <w:style w:type="paragraph" w:customStyle="1" w:styleId="10-Local-CLG">
    <w:name w:val="10 - Local - CLG"/>
    <w:link w:val="10-Local-CLGChar"/>
    <w:rsid w:val="003A1E97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3A1E97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link w:val="02-TtuloPrincipal-CLG"/>
    <w:rsid w:val="003A1E97"/>
    <w:rPr>
      <w:rFonts w:ascii="Times New Roman" w:eastAsia="Times New Roman" w:hAnsi="Times New Roman"/>
      <w:b/>
      <w:bCs/>
      <w:sz w:val="32"/>
      <w:lang w:eastAsia="pt-BR" w:bidi="ar-SA"/>
    </w:rPr>
  </w:style>
  <w:style w:type="character" w:customStyle="1" w:styleId="04-Relatoria-CLGChar">
    <w:name w:val="04 - Relatoria - CLG Char"/>
    <w:link w:val="04-Relatoria-CLG"/>
    <w:rsid w:val="003A1E97"/>
    <w:rPr>
      <w:rFonts w:ascii="Times New Roman" w:eastAsia="Times New Roman" w:hAnsi="Times New Roman"/>
      <w:sz w:val="28"/>
      <w:lang w:eastAsia="pt-BR" w:bidi="ar-SA"/>
    </w:rPr>
  </w:style>
  <w:style w:type="character" w:customStyle="1" w:styleId="05-Subttulo-CLGChar">
    <w:name w:val="05 - Subtítulo - CLG Char"/>
    <w:link w:val="05-Subttulo-CLG"/>
    <w:rsid w:val="003A1E97"/>
    <w:rPr>
      <w:rFonts w:ascii="Times New Roman" w:eastAsia="Times New Roman" w:hAnsi="Times New Roman"/>
      <w:b/>
      <w:bCs/>
      <w:sz w:val="28"/>
      <w:lang w:eastAsia="pt-BR" w:bidi="ar-SA"/>
    </w:rPr>
  </w:style>
  <w:style w:type="character" w:customStyle="1" w:styleId="06-Pargrafodetexto-CLGChar">
    <w:name w:val="06 - Parágrafo de texto - CLG Char"/>
    <w:link w:val="06-Pargrafodetexto-CLG"/>
    <w:rsid w:val="003A1E97"/>
    <w:rPr>
      <w:rFonts w:ascii="Times New Roman" w:eastAsia="Times New Roman" w:hAnsi="Times New Roman"/>
      <w:sz w:val="28"/>
      <w:lang w:eastAsia="pt-BR" w:bidi="ar-SA"/>
    </w:rPr>
  </w:style>
  <w:style w:type="character" w:customStyle="1" w:styleId="10-Local-CLGChar">
    <w:name w:val="10 - Local - CLG Char"/>
    <w:link w:val="10-Local-CLG"/>
    <w:rsid w:val="003A1E97"/>
    <w:rPr>
      <w:rFonts w:ascii="Times New Roman" w:eastAsia="Times New Roman" w:hAnsi="Times New Roman"/>
      <w:sz w:val="28"/>
      <w:lang w:eastAsia="pt-BR" w:bidi="ar-SA"/>
    </w:rPr>
  </w:style>
  <w:style w:type="character" w:customStyle="1" w:styleId="11-Assinaturas-CLGChar">
    <w:name w:val="11 - Assinaturas - CLG Char"/>
    <w:link w:val="11-Assinaturas-CLG"/>
    <w:rsid w:val="003A1E97"/>
    <w:rPr>
      <w:rFonts w:ascii="Times New Roman" w:eastAsia="Times New Roman" w:hAnsi="Times New Roman"/>
      <w:sz w:val="28"/>
      <w:lang w:eastAsia="pt-BR" w:bidi="ar-SA"/>
    </w:rPr>
  </w:style>
  <w:style w:type="paragraph" w:customStyle="1" w:styleId="07-Citaolegal-CLG">
    <w:name w:val="07 - Citação legal - CLG"/>
    <w:link w:val="07-Citaolegal-CLGCharChar"/>
    <w:rsid w:val="003A1E97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character" w:customStyle="1" w:styleId="07-Citaolegal-CLGCharChar">
    <w:name w:val="07 - Citação legal - CLG Char Char"/>
    <w:link w:val="07-Citaolegal-CLG"/>
    <w:rsid w:val="003A1E97"/>
    <w:rPr>
      <w:rFonts w:ascii="Times New Roman" w:eastAsia="Times New Roman" w:hAnsi="Times New Roman"/>
      <w:bCs/>
      <w:sz w:val="24"/>
      <w:lang w:eastAsia="pt-BR" w:bidi="ar-SA"/>
    </w:rPr>
  </w:style>
  <w:style w:type="paragraph" w:customStyle="1" w:styleId="08-Citaolegal-ltimalinha-CLG">
    <w:name w:val="08 - Citação legal - última linha - CLG"/>
    <w:link w:val="08-Citaolegal-ltimalinha-CLGCharChar"/>
    <w:rsid w:val="003A1E97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3A1E97"/>
    <w:rPr>
      <w:rFonts w:ascii="Times New Roman" w:eastAsia="Times New Roman" w:hAnsi="Times New Roman"/>
      <w:sz w:val="24"/>
      <w:lang w:eastAsia="pt-BR" w:bidi="ar-SA"/>
    </w:rPr>
  </w:style>
  <w:style w:type="paragraph" w:customStyle="1" w:styleId="09-Ttuloemenda-CLG">
    <w:name w:val="09 - Título emenda - CLG"/>
    <w:link w:val="09-Ttuloemenda-CLGChar"/>
    <w:rsid w:val="003A1E97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character" w:customStyle="1" w:styleId="09-Ttuloemenda-CLGChar">
    <w:name w:val="09 - Título emenda - CLG Char"/>
    <w:link w:val="09-Ttuloemenda-CLG"/>
    <w:rsid w:val="003A1E97"/>
    <w:rPr>
      <w:rFonts w:ascii="Times New Roman" w:eastAsia="Times New Roman" w:hAnsi="Times New Roman"/>
      <w:b/>
      <w:bCs/>
      <w:spacing w:val="-4"/>
      <w:sz w:val="28"/>
      <w:lang w:eastAsia="pt-BR" w:bidi="ar-SA"/>
    </w:rPr>
  </w:style>
  <w:style w:type="paragraph" w:customStyle="1" w:styleId="05-Pargrafodetexto-CLG">
    <w:name w:val="05 - Parágrafo de texto - CLG"/>
    <w:link w:val="05-Pargrafodetexto-CLGChar"/>
    <w:rsid w:val="00FE78F0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5-Pargrafodetexto-CLGChar">
    <w:name w:val="05 - Parágrafo de texto - CLG Char"/>
    <w:link w:val="05-Pargrafodetexto-CLG"/>
    <w:rsid w:val="00FE78F0"/>
    <w:rPr>
      <w:rFonts w:ascii="Times New Roman" w:eastAsia="Times New Roman" w:hAnsi="Times New Roman"/>
      <w:sz w:val="28"/>
      <w:lang w:bidi="ar-SA"/>
    </w:rPr>
  </w:style>
  <w:style w:type="paragraph" w:customStyle="1" w:styleId="04-PargrafodetextoEstudoNotas-CLG">
    <w:name w:val="04 - Parágrafo de texto Estudo Notas - CLG"/>
    <w:link w:val="04-PargrafodetextoEstudoNotas-CLGChar"/>
    <w:rsid w:val="006E7810"/>
    <w:pPr>
      <w:spacing w:after="360" w:line="360" w:lineRule="auto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4-PargrafodetextoEstudoNotas-CLGChar">
    <w:name w:val="04 - Parágrafo de texto Estudo Notas - CLG Char"/>
    <w:link w:val="04-PargrafodetextoEstudoNotas-CLG"/>
    <w:rsid w:val="006E7810"/>
    <w:rPr>
      <w:rFonts w:ascii="Times New Roman" w:eastAsia="Times New Roman" w:hAnsi="Times New Roman"/>
      <w:sz w:val="28"/>
      <w:lang w:bidi="ar-SA"/>
    </w:rPr>
  </w:style>
  <w:style w:type="character" w:styleId="Refdecomentrio">
    <w:name w:val="annotation reference"/>
    <w:uiPriority w:val="99"/>
    <w:semiHidden/>
    <w:unhideWhenUsed/>
    <w:rsid w:val="00FA5F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FB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5FB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F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5FBF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5F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DD17-D348-4D8D-A844-7D956207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1820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Emerick Correa</dc:creator>
  <cp:lastModifiedBy>segidio</cp:lastModifiedBy>
  <cp:revision>4</cp:revision>
  <cp:lastPrinted>2015-04-30T12:35:00Z</cp:lastPrinted>
  <dcterms:created xsi:type="dcterms:W3CDTF">2015-04-09T14:44:00Z</dcterms:created>
  <dcterms:modified xsi:type="dcterms:W3CDTF">2015-05-06T16:10:00Z</dcterms:modified>
</cp:coreProperties>
</file>