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29" w:rsidRDefault="006E6D29" w:rsidP="00C03E3C">
      <w:pPr>
        <w:pStyle w:val="02-TtuloPrincipal-CLG"/>
      </w:pPr>
      <w:r>
        <w:t xml:space="preserve">PARECER </w:t>
      </w:r>
      <w:proofErr w:type="gramStart"/>
      <w:r>
        <w:t>Nº</w:t>
      </w:r>
      <w:r w:rsidR="00380957">
        <w:t xml:space="preserve">    </w:t>
      </w:r>
      <w:r w:rsidR="00917212">
        <w:t xml:space="preserve"> </w:t>
      </w:r>
      <w:r w:rsidR="005A155D">
        <w:t xml:space="preserve">   </w:t>
      </w:r>
      <w:r>
        <w:t>,</w:t>
      </w:r>
      <w:proofErr w:type="gramEnd"/>
      <w:r>
        <w:t xml:space="preserve"> DE 20</w:t>
      </w:r>
      <w:r w:rsidR="00A50F69">
        <w:t>1</w:t>
      </w:r>
      <w:r w:rsidR="008E6EFB">
        <w:t>4</w:t>
      </w:r>
    </w:p>
    <w:p w:rsidR="008E6EFB" w:rsidRPr="00C03E3C" w:rsidRDefault="006E6D29" w:rsidP="009B5C1B">
      <w:pPr>
        <w:pStyle w:val="03-Ementa-CLG"/>
      </w:pPr>
      <w:r w:rsidRPr="00C03E3C">
        <w:t xml:space="preserve">Da COMISSÃO DE </w:t>
      </w:r>
      <w:r w:rsidR="00274DB9" w:rsidRPr="00C03E3C">
        <w:t>A</w:t>
      </w:r>
      <w:r w:rsidR="008E6EFB" w:rsidRPr="00C03E3C">
        <w:t>SSUNTOS ECONÔMICOS</w:t>
      </w:r>
      <w:r w:rsidRPr="00C03E3C">
        <w:t>, sobre o P</w:t>
      </w:r>
      <w:r w:rsidR="008E6EFB" w:rsidRPr="00C03E3C">
        <w:t>rojeto de Lei d</w:t>
      </w:r>
      <w:r w:rsidR="009B5C1B">
        <w:t xml:space="preserve">o Senado </w:t>
      </w:r>
      <w:r w:rsidR="008E6EFB" w:rsidRPr="00C03E3C">
        <w:t xml:space="preserve">nº </w:t>
      </w:r>
      <w:r w:rsidR="009B5C1B">
        <w:t xml:space="preserve">277, de 2014 – Complementar, que </w:t>
      </w:r>
      <w:r w:rsidR="008E6EFB" w:rsidRPr="00C03E3C">
        <w:rPr>
          <w:i/>
        </w:rPr>
        <w:t>altera</w:t>
      </w:r>
      <w:r w:rsidR="009B5C1B">
        <w:rPr>
          <w:i/>
        </w:rPr>
        <w:t xml:space="preserve"> </w:t>
      </w:r>
      <w:r w:rsidR="009B5C1B" w:rsidRPr="009B5C1B">
        <w:rPr>
          <w:i/>
        </w:rPr>
        <w:t xml:space="preserve">a Lei Complementar nº 101, de </w:t>
      </w:r>
      <w:proofErr w:type="gramStart"/>
      <w:r w:rsidR="009B5C1B" w:rsidRPr="009B5C1B">
        <w:rPr>
          <w:i/>
        </w:rPr>
        <w:t>4</w:t>
      </w:r>
      <w:proofErr w:type="gramEnd"/>
      <w:r w:rsidR="009B5C1B" w:rsidRPr="009B5C1B">
        <w:rPr>
          <w:i/>
        </w:rPr>
        <w:t xml:space="preserve"> de maio de 2000 (Lei</w:t>
      </w:r>
      <w:r w:rsidR="009B5C1B">
        <w:rPr>
          <w:i/>
        </w:rPr>
        <w:t xml:space="preserve"> </w:t>
      </w:r>
      <w:r w:rsidR="009B5C1B" w:rsidRPr="009B5C1B">
        <w:rPr>
          <w:i/>
        </w:rPr>
        <w:t>de Responsabilidade Fiscal), para prever que a revisão da</w:t>
      </w:r>
      <w:r w:rsidR="009B5C1B">
        <w:rPr>
          <w:i/>
        </w:rPr>
        <w:t xml:space="preserve"> </w:t>
      </w:r>
      <w:r w:rsidR="009B5C1B" w:rsidRPr="009B5C1B">
        <w:rPr>
          <w:i/>
        </w:rPr>
        <w:t>base de cálculo do Imposto sobre a Propriedade Predial e</w:t>
      </w:r>
      <w:r w:rsidR="009B5C1B">
        <w:rPr>
          <w:i/>
        </w:rPr>
        <w:t xml:space="preserve"> </w:t>
      </w:r>
      <w:r w:rsidR="009B5C1B" w:rsidRPr="009B5C1B">
        <w:rPr>
          <w:i/>
        </w:rPr>
        <w:t>Territorial Urbana (IPTU) e a atualização monetária dos</w:t>
      </w:r>
      <w:r w:rsidR="009B5C1B">
        <w:rPr>
          <w:i/>
        </w:rPr>
        <w:t xml:space="preserve"> </w:t>
      </w:r>
      <w:r w:rsidR="009B5C1B" w:rsidRPr="009B5C1B">
        <w:rPr>
          <w:i/>
        </w:rPr>
        <w:t>valores que a compõem constituem requisitos essenciais da</w:t>
      </w:r>
      <w:r w:rsidR="009B5C1B">
        <w:rPr>
          <w:i/>
        </w:rPr>
        <w:t xml:space="preserve"> </w:t>
      </w:r>
      <w:r w:rsidR="009B5C1B" w:rsidRPr="009B5C1B">
        <w:rPr>
          <w:i/>
        </w:rPr>
        <w:t>responsabilidade na gestão fiscal.</w:t>
      </w:r>
    </w:p>
    <w:p w:rsidR="006E6D29" w:rsidRDefault="006E6D29" w:rsidP="00C03E3C">
      <w:pPr>
        <w:pStyle w:val="04-Relatoria-CLG"/>
        <w:rPr>
          <w:b/>
        </w:rPr>
      </w:pPr>
      <w:r>
        <w:t>RELATOR: Senador</w:t>
      </w:r>
      <w:r>
        <w:rPr>
          <w:b/>
        </w:rPr>
        <w:t xml:space="preserve"> </w:t>
      </w:r>
      <w:r w:rsidR="0098370C">
        <w:rPr>
          <w:b/>
        </w:rPr>
        <w:t>FRANCISCO DORNELLES</w:t>
      </w:r>
    </w:p>
    <w:p w:rsidR="006E6D29" w:rsidRDefault="006E6D29" w:rsidP="00C03E3C">
      <w:pPr>
        <w:pStyle w:val="05-Subttulo-CLG"/>
      </w:pPr>
      <w:r>
        <w:t>I – RELATÓRIO</w:t>
      </w:r>
    </w:p>
    <w:p w:rsidR="00D475B9" w:rsidRPr="00716B7F" w:rsidRDefault="00716B7F" w:rsidP="00101D79">
      <w:pPr>
        <w:pStyle w:val="06-Pargrafodetexto-CLG"/>
        <w:spacing w:after="240"/>
      </w:pPr>
      <w:r>
        <w:t xml:space="preserve">De autoria do Senador Antonio Carlos Rodrigues, </w:t>
      </w:r>
      <w:r w:rsidR="008E2F40">
        <w:t xml:space="preserve">o Projeto de Lei </w:t>
      </w:r>
      <w:r w:rsidR="00D475B9">
        <w:t xml:space="preserve">do Senado </w:t>
      </w:r>
      <w:r w:rsidR="008E2F40">
        <w:t>(PL</w:t>
      </w:r>
      <w:r w:rsidR="00D475B9">
        <w:t>S</w:t>
      </w:r>
      <w:r w:rsidR="008E2F40">
        <w:t xml:space="preserve">) nº </w:t>
      </w:r>
      <w:r w:rsidR="00D475B9">
        <w:t>277</w:t>
      </w:r>
      <w:r w:rsidR="008E2F40">
        <w:t>, de 2014</w:t>
      </w:r>
      <w:r w:rsidR="00D475B9">
        <w:t xml:space="preserve"> – Complementar</w:t>
      </w:r>
      <w:r w:rsidR="008E2F40">
        <w:t xml:space="preserve">, </w:t>
      </w:r>
      <w:r>
        <w:t xml:space="preserve">pretende incluir </w:t>
      </w:r>
      <w:r w:rsidRPr="00716B7F">
        <w:t xml:space="preserve">a revisão da base de cálculo do Imposto sobre a Propriedade Predial e Territorial Urbana (IPTU) </w:t>
      </w:r>
      <w:r>
        <w:t xml:space="preserve">bem como </w:t>
      </w:r>
      <w:r w:rsidRPr="00716B7F">
        <w:t xml:space="preserve">a atualização monetária dos valores que a compõem </w:t>
      </w:r>
      <w:r>
        <w:t>entre os “</w:t>
      </w:r>
      <w:r w:rsidRPr="00716B7F">
        <w:t>requisitos essenciais da responsabilidade na gestão fiscal</w:t>
      </w:r>
      <w:r>
        <w:t>”</w:t>
      </w:r>
      <w:r w:rsidRPr="00716B7F">
        <w:t>.</w:t>
      </w:r>
      <w:r>
        <w:t xml:space="preserve"> </w:t>
      </w:r>
    </w:p>
    <w:p w:rsidR="00255DD7" w:rsidRDefault="00FC4BC4" w:rsidP="00716B7F">
      <w:pPr>
        <w:pStyle w:val="06-Pargrafodetexto-CLG"/>
        <w:spacing w:after="240"/>
      </w:pPr>
      <w:r>
        <w:t>Ao justificar a iniciativa</w:t>
      </w:r>
      <w:r w:rsidRPr="00D5632F">
        <w:t>, o autor a</w:t>
      </w:r>
      <w:r>
        <w:t>rgumenta</w:t>
      </w:r>
      <w:r w:rsidRPr="00D5632F">
        <w:t xml:space="preserve"> que, </w:t>
      </w:r>
      <w:r w:rsidR="00716B7F">
        <w:t xml:space="preserve">diante da gravidade da crise </w:t>
      </w:r>
      <w:r w:rsidR="00255DD7">
        <w:t>orçamentária</w:t>
      </w:r>
      <w:r w:rsidR="00716B7F">
        <w:t xml:space="preserve"> que afeta os municípios</w:t>
      </w:r>
      <w:r w:rsidR="00255DD7">
        <w:t xml:space="preserve"> – decorrente em grande medida das desonerações concedidas pela União relativamente aos impostos federais –, torna-se imprescindível </w:t>
      </w:r>
      <w:proofErr w:type="gramStart"/>
      <w:r w:rsidR="00255DD7">
        <w:t>a</w:t>
      </w:r>
      <w:proofErr w:type="gramEnd"/>
      <w:r w:rsidR="00255DD7">
        <w:t xml:space="preserve"> busca de “alternativas para a solução dos problemas de gestão fiscal local”.</w:t>
      </w:r>
    </w:p>
    <w:p w:rsidR="00716B7F" w:rsidRDefault="00255DD7" w:rsidP="00716B7F">
      <w:pPr>
        <w:pStyle w:val="06-Pargrafodetexto-CLG"/>
        <w:spacing w:after="240"/>
      </w:pPr>
      <w:r>
        <w:t>Para Sua Excelência, embora sejam “necessários</w:t>
      </w:r>
      <w:r w:rsidR="003634F8">
        <w:t xml:space="preserve"> e importantes</w:t>
      </w:r>
      <w:r>
        <w:t xml:space="preserve">”, os benefícios fiscais relacionados ao Imposto sobre Produtos Industrializados (IPI) e ao Imposto sobre a Renda (IR) reduzem </w:t>
      </w:r>
      <w:r w:rsidR="008068B4">
        <w:t>a receita municipal</w:t>
      </w:r>
      <w:r>
        <w:t xml:space="preserve"> uma vez que</w:t>
      </w:r>
      <w:r w:rsidR="003634F8">
        <w:t xml:space="preserve"> a </w:t>
      </w:r>
      <w:r w:rsidR="00716B7F">
        <w:t>Constituição</w:t>
      </w:r>
      <w:r>
        <w:t xml:space="preserve"> Federal</w:t>
      </w:r>
      <w:r w:rsidR="003634F8">
        <w:t xml:space="preserve"> determina a transferência de</w:t>
      </w:r>
      <w:r>
        <w:t xml:space="preserve"> </w:t>
      </w:r>
      <w:r w:rsidR="00716B7F">
        <w:t>23,5% do produto da arrecadação d</w:t>
      </w:r>
      <w:r w:rsidR="003634F8">
        <w:t>esses tributos</w:t>
      </w:r>
      <w:r w:rsidR="00716B7F">
        <w:t xml:space="preserve"> </w:t>
      </w:r>
      <w:r w:rsidR="008068B4">
        <w:t>ao Fundo de Participação dos Municípios (FPM).</w:t>
      </w:r>
    </w:p>
    <w:p w:rsidR="00716B7F" w:rsidRDefault="008068B4" w:rsidP="00716B7F">
      <w:pPr>
        <w:pStyle w:val="06-Pargrafodetexto-CLG"/>
        <w:spacing w:after="240"/>
      </w:pPr>
      <w:r>
        <w:lastRenderedPageBreak/>
        <w:t>O</w:t>
      </w:r>
      <w:r w:rsidR="00716B7F">
        <w:t xml:space="preserve"> recebimento de recursos oriundos do FPM </w:t>
      </w:r>
      <w:r>
        <w:t>in</w:t>
      </w:r>
      <w:r w:rsidR="00716B7F">
        <w:t>depende d</w:t>
      </w:r>
      <w:r w:rsidR="003634F8">
        <w:t>a</w:t>
      </w:r>
      <w:r w:rsidR="00716B7F">
        <w:t xml:space="preserve"> atuação </w:t>
      </w:r>
      <w:r w:rsidR="003634F8">
        <w:t xml:space="preserve">direta </w:t>
      </w:r>
      <w:r w:rsidR="00716B7F">
        <w:t>dos municípios</w:t>
      </w:r>
      <w:r>
        <w:t xml:space="preserve">. Assim, no entendimento do autor, </w:t>
      </w:r>
      <w:r w:rsidR="003634F8">
        <w:t>a eficácia da cobrança do IPTU torna-se u</w:t>
      </w:r>
      <w:r w:rsidR="00716B7F">
        <w:t xml:space="preserve">m dos meios </w:t>
      </w:r>
      <w:r w:rsidR="003634F8">
        <w:t xml:space="preserve">adequados </w:t>
      </w:r>
      <w:r w:rsidR="00716B7F">
        <w:t>para a melhor</w:t>
      </w:r>
      <w:r w:rsidR="00472471">
        <w:t>i</w:t>
      </w:r>
      <w:r w:rsidR="00716B7F">
        <w:t>a d</w:t>
      </w:r>
      <w:r w:rsidR="00472471">
        <w:t>as</w:t>
      </w:r>
      <w:r w:rsidR="00716B7F">
        <w:t xml:space="preserve"> contas</w:t>
      </w:r>
      <w:r w:rsidR="00472471">
        <w:t xml:space="preserve"> públicas dos chamados “entes locais”</w:t>
      </w:r>
      <w:r w:rsidR="00716B7F">
        <w:t xml:space="preserve">. </w:t>
      </w:r>
      <w:r w:rsidR="003634F8">
        <w:t>Como e</w:t>
      </w:r>
      <w:r w:rsidR="00716B7F">
        <w:t xml:space="preserve">sse </w:t>
      </w:r>
      <w:r w:rsidR="003634F8">
        <w:t>tributo municipal</w:t>
      </w:r>
      <w:r w:rsidR="00716B7F">
        <w:t xml:space="preserve"> tem como base de cálculo o valor venal dos imóveis</w:t>
      </w:r>
      <w:r w:rsidR="003634F8">
        <w:t xml:space="preserve">, </w:t>
      </w:r>
      <w:r w:rsidR="00716B7F">
        <w:t xml:space="preserve">sobre o qual incidem as </w:t>
      </w:r>
      <w:r w:rsidR="00962BB3">
        <w:t xml:space="preserve">respectivas </w:t>
      </w:r>
      <w:r w:rsidR="00716B7F">
        <w:t xml:space="preserve">alíquotas, </w:t>
      </w:r>
      <w:r w:rsidR="003634F8">
        <w:t xml:space="preserve">mostra-se imprescindível a </w:t>
      </w:r>
      <w:r w:rsidR="00962BB3">
        <w:t xml:space="preserve">permanente </w:t>
      </w:r>
      <w:r w:rsidR="003634F8">
        <w:t>atualização</w:t>
      </w:r>
      <w:r w:rsidR="00962BB3">
        <w:t xml:space="preserve"> da </w:t>
      </w:r>
      <w:r w:rsidR="00716B7F">
        <w:t>chamada Planta Genérica de Valores (PGV)</w:t>
      </w:r>
      <w:r w:rsidR="00962BB3">
        <w:t xml:space="preserve">, </w:t>
      </w:r>
      <w:r w:rsidR="00716B7F">
        <w:t>constituída por um conjunto de critérios</w:t>
      </w:r>
      <w:r w:rsidR="00962BB3">
        <w:t>,</w:t>
      </w:r>
      <w:r w:rsidR="00716B7F">
        <w:t xml:space="preserve"> fixado em lei</w:t>
      </w:r>
      <w:r w:rsidR="00962BB3">
        <w:t>,</w:t>
      </w:r>
      <w:r w:rsidR="00716B7F">
        <w:t xml:space="preserve"> </w:t>
      </w:r>
      <w:r w:rsidR="00962BB3">
        <w:t xml:space="preserve">com vistas à determinação do </w:t>
      </w:r>
      <w:r w:rsidR="00716B7F">
        <w:t>valor de cada imóvel.</w:t>
      </w:r>
    </w:p>
    <w:p w:rsidR="00716B7F" w:rsidRDefault="00962BB3" w:rsidP="00716B7F">
      <w:pPr>
        <w:pStyle w:val="06-Pargrafodetexto-CLG"/>
        <w:spacing w:after="240"/>
      </w:pPr>
      <w:r>
        <w:t>Ao ponderar que “c</w:t>
      </w:r>
      <w:r w:rsidR="00716B7F">
        <w:t>aso o valor venal não reflita o valor atualizado do imóvel o município pode deixar de arrecadar o montante de imposto que poderia obter</w:t>
      </w:r>
      <w:r>
        <w:t>”, o autor aduz que, segundo a</w:t>
      </w:r>
      <w:r w:rsidR="00716B7F">
        <w:t xml:space="preserve"> Confederação Nacional dos Municípios (CNM)</w:t>
      </w:r>
      <w:r>
        <w:t>, muitas municipalidades deixam de atualizar a</w:t>
      </w:r>
      <w:r w:rsidR="00716B7F">
        <w:t xml:space="preserve"> PGV e perdem</w:t>
      </w:r>
      <w:r>
        <w:t>, assim, relevante</w:t>
      </w:r>
      <w:r w:rsidR="00716B7F">
        <w:t xml:space="preserve"> receita tributária.</w:t>
      </w:r>
    </w:p>
    <w:p w:rsidR="00716B7F" w:rsidRDefault="008068B4" w:rsidP="00716B7F">
      <w:pPr>
        <w:pStyle w:val="06-Pargrafodetexto-CLG"/>
        <w:spacing w:after="240"/>
      </w:pPr>
      <w:r>
        <w:t>Segundo Sua Excelência</w:t>
      </w:r>
      <w:r w:rsidR="00962BB3">
        <w:t>, tal omissão se explicaria pelo receio de “</w:t>
      </w:r>
      <w:r w:rsidR="00716B7F">
        <w:t>desgaste político</w:t>
      </w:r>
      <w:r w:rsidR="00962BB3">
        <w:t>”</w:t>
      </w:r>
      <w:r w:rsidR="00716B7F">
        <w:t xml:space="preserve">, </w:t>
      </w:r>
      <w:r w:rsidR="00962BB3">
        <w:t>uma vez que</w:t>
      </w:r>
      <w:r w:rsidR="00472471">
        <w:t xml:space="preserve">, em suas palavras, </w:t>
      </w:r>
      <w:r w:rsidR="00962BB3">
        <w:t>“</w:t>
      </w:r>
      <w:r w:rsidR="00716B7F">
        <w:t>os prefeitos e os vereadores não querem ser lembrados pelos eleitores por terem provocado o aumento do IPTU acarretado pela revisão de sua base de cálculo</w:t>
      </w:r>
      <w:r w:rsidR="00962BB3">
        <w:t>”</w:t>
      </w:r>
      <w:r w:rsidR="00716B7F">
        <w:t>.</w:t>
      </w:r>
    </w:p>
    <w:p w:rsidR="00716B7F" w:rsidRDefault="00962BB3" w:rsidP="00716B7F">
      <w:pPr>
        <w:pStyle w:val="06-Pargrafodetexto-CLG"/>
        <w:spacing w:after="240"/>
      </w:pPr>
      <w:r>
        <w:t xml:space="preserve">O projeto </w:t>
      </w:r>
      <w:proofErr w:type="gramStart"/>
      <w:r>
        <w:t>sob exame</w:t>
      </w:r>
      <w:proofErr w:type="gramEnd"/>
      <w:r>
        <w:t xml:space="preserve"> decorre, portanto, dessa constatação. Seu declarado intuito é o de </w:t>
      </w:r>
      <w:r w:rsidR="00B73FA3">
        <w:t xml:space="preserve">retirar “parte do peso político que recai sobre os prefeitos e os vereadores”. Ao incluir na </w:t>
      </w:r>
      <w:r w:rsidR="00716B7F">
        <w:t>Lei de Responsabilidade Fiscal (LRF) d</w:t>
      </w:r>
      <w:r w:rsidR="00B73FA3">
        <w:t xml:space="preserve">eterminação no sentido de que a </w:t>
      </w:r>
      <w:r w:rsidR="00716B7F">
        <w:t xml:space="preserve">revisão e </w:t>
      </w:r>
      <w:r w:rsidR="00B73FA3">
        <w:t xml:space="preserve">a </w:t>
      </w:r>
      <w:r w:rsidR="00716B7F">
        <w:t>atualização periódicas da base de cálculo do IPTU</w:t>
      </w:r>
      <w:r w:rsidR="00B73FA3">
        <w:t xml:space="preserve"> constituem </w:t>
      </w:r>
      <w:r w:rsidR="00716B7F">
        <w:t xml:space="preserve">requisito essencial da responsabilidade na gestão fiscal, </w:t>
      </w:r>
      <w:r w:rsidR="00B73FA3">
        <w:t>a proposição enseja a ação municipal uma vez que o e</w:t>
      </w:r>
      <w:r w:rsidR="00716B7F">
        <w:t>ventual descumprimento dessa regra imped</w:t>
      </w:r>
      <w:r w:rsidR="00472471">
        <w:t>e</w:t>
      </w:r>
      <w:r w:rsidR="00716B7F">
        <w:t xml:space="preserve"> que o município receba transferências voluntárias de outros entes federativos.</w:t>
      </w:r>
    </w:p>
    <w:p w:rsidR="00716B7F" w:rsidRDefault="00B73FA3" w:rsidP="00716B7F">
      <w:pPr>
        <w:pStyle w:val="06-Pargrafodetexto-CLG"/>
        <w:spacing w:after="240"/>
      </w:pPr>
      <w:r>
        <w:t xml:space="preserve">O autor ressalva que essa </w:t>
      </w:r>
      <w:r w:rsidR="00716B7F">
        <w:t xml:space="preserve">sanção, </w:t>
      </w:r>
      <w:r>
        <w:t xml:space="preserve">embora pesada, não afetaria </w:t>
      </w:r>
      <w:r w:rsidR="00716B7F">
        <w:t>as transferências relativas a ações de educação, de saúde e de assistência social</w:t>
      </w:r>
      <w:r w:rsidRPr="00B73FA3">
        <w:t xml:space="preserve"> </w:t>
      </w:r>
      <w:r>
        <w:t>por força do § 3º do art. 25 da própria LRF, incidindo</w:t>
      </w:r>
      <w:r w:rsidR="00472471">
        <w:t>, contudo,</w:t>
      </w:r>
      <w:r>
        <w:t xml:space="preserve"> sobre dispêndios relativos a</w:t>
      </w:r>
      <w:r w:rsidR="00716B7F">
        <w:t>o desenvolvimento local.</w:t>
      </w:r>
    </w:p>
    <w:p w:rsidR="00716B7F" w:rsidRDefault="00C46610" w:rsidP="00716B7F">
      <w:pPr>
        <w:pStyle w:val="06-Pargrafodetexto-CLG"/>
        <w:spacing w:after="240"/>
      </w:pPr>
      <w:r>
        <w:t xml:space="preserve">Ao lembrar que </w:t>
      </w:r>
      <w:r w:rsidR="00716B7F">
        <w:t xml:space="preserve">o projeto obriga tanto o Poder Executivo quanto o Poder Legislativo do município, </w:t>
      </w:r>
      <w:r>
        <w:t>“</w:t>
      </w:r>
      <w:r w:rsidR="00716B7F">
        <w:t>pois a revisão da base de cálculo do IPTU, consubstanciada na PGV, dependerá da edição de lei</w:t>
      </w:r>
      <w:r>
        <w:t>”, Sua Excelência destaca</w:t>
      </w:r>
      <w:r w:rsidR="00472471">
        <w:t xml:space="preserve"> ainda</w:t>
      </w:r>
      <w:r>
        <w:t xml:space="preserve"> que a</w:t>
      </w:r>
      <w:r w:rsidR="00BB2FFD">
        <w:t xml:space="preserve"> proposição</w:t>
      </w:r>
      <w:r>
        <w:t xml:space="preserve"> cuidou de “</w:t>
      </w:r>
      <w:r w:rsidR="00716B7F">
        <w:t>criar uma espécie de regra de transição</w:t>
      </w:r>
      <w:r>
        <w:t>”</w:t>
      </w:r>
      <w:r w:rsidR="00716B7F">
        <w:t>.</w:t>
      </w:r>
    </w:p>
    <w:p w:rsidR="00716B7F" w:rsidRDefault="00C46610" w:rsidP="00716B7F">
      <w:pPr>
        <w:pStyle w:val="06-Pargrafodetexto-CLG"/>
        <w:spacing w:after="240"/>
      </w:pPr>
      <w:r>
        <w:t>Nos termos da Justificação do projeto, “c</w:t>
      </w:r>
      <w:r w:rsidR="00716B7F">
        <w:t xml:space="preserve">omo diversos municípios podem estar </w:t>
      </w:r>
      <w:proofErr w:type="gramStart"/>
      <w:r w:rsidR="00716B7F">
        <w:t>há</w:t>
      </w:r>
      <w:proofErr w:type="gramEnd"/>
      <w:r w:rsidR="00716B7F">
        <w:t xml:space="preserve"> muitos anos sem revisar a base de cálculo do IPTU, foi prevista regra que permite a fixação de limite máximo de aumento do imposto. Estabeleceu-se, também, a possibilidade de que o aumento total </w:t>
      </w:r>
      <w:r w:rsidR="00716B7F">
        <w:lastRenderedPageBreak/>
        <w:t>gerado pela revisão da base de cálculo seja distribuído ao longo de quatro exercícios financeiros ininterruptos. O objetivo é evitar elevação excessiva da carga tributária que poderia prejudicar o contribuinte</w:t>
      </w:r>
      <w:r>
        <w:t>”</w:t>
      </w:r>
      <w:r w:rsidR="00716B7F">
        <w:t>.</w:t>
      </w:r>
    </w:p>
    <w:p w:rsidR="007078B7" w:rsidRDefault="00D475B9" w:rsidP="00666A62">
      <w:pPr>
        <w:pStyle w:val="06-Pargrafodetexto-CLG"/>
        <w:spacing w:after="480"/>
      </w:pPr>
      <w:r>
        <w:t>A</w:t>
      </w:r>
      <w:r w:rsidR="00FC4BC4">
        <w:t xml:space="preserve"> matéria foi distribuída</w:t>
      </w:r>
      <w:r w:rsidR="00C46610">
        <w:t xml:space="preserve"> com exclusividade a esta Comissão</w:t>
      </w:r>
      <w:r>
        <w:t>.</w:t>
      </w:r>
    </w:p>
    <w:p w:rsidR="006E6D29" w:rsidRDefault="006E6D29" w:rsidP="00101D79">
      <w:pPr>
        <w:pStyle w:val="05-Subttulo-CLG"/>
      </w:pPr>
      <w:r>
        <w:t>II – ANÁLISE</w:t>
      </w:r>
    </w:p>
    <w:p w:rsidR="00C170FC" w:rsidRDefault="007078B7" w:rsidP="00101D79">
      <w:pPr>
        <w:pStyle w:val="06-Pargrafodetexto-CLG"/>
        <w:spacing w:after="240"/>
        <w:rPr>
          <w:szCs w:val="28"/>
        </w:rPr>
      </w:pPr>
      <w:r w:rsidRPr="007078B7">
        <w:rPr>
          <w:szCs w:val="28"/>
        </w:rPr>
        <w:t xml:space="preserve">Nos termos do </w:t>
      </w:r>
      <w:r w:rsidR="00101D79">
        <w:rPr>
          <w:szCs w:val="28"/>
        </w:rPr>
        <w:t>inciso I</w:t>
      </w:r>
      <w:r w:rsidR="00C46610">
        <w:rPr>
          <w:szCs w:val="28"/>
        </w:rPr>
        <w:t>V</w:t>
      </w:r>
      <w:r w:rsidR="00101D79">
        <w:rPr>
          <w:szCs w:val="28"/>
        </w:rPr>
        <w:t xml:space="preserve"> do </w:t>
      </w:r>
      <w:r w:rsidRPr="007078B7">
        <w:rPr>
          <w:szCs w:val="28"/>
        </w:rPr>
        <w:t xml:space="preserve">art. </w:t>
      </w:r>
      <w:r w:rsidR="00101D79">
        <w:rPr>
          <w:szCs w:val="28"/>
        </w:rPr>
        <w:t xml:space="preserve">99 </w:t>
      </w:r>
      <w:r w:rsidRPr="007078B7">
        <w:rPr>
          <w:szCs w:val="28"/>
        </w:rPr>
        <w:t xml:space="preserve">do Regimento Interno, </w:t>
      </w:r>
      <w:proofErr w:type="gramStart"/>
      <w:r w:rsidRPr="007078B7">
        <w:rPr>
          <w:szCs w:val="28"/>
        </w:rPr>
        <w:t>compete</w:t>
      </w:r>
      <w:proofErr w:type="gramEnd"/>
      <w:r w:rsidRPr="007078B7">
        <w:rPr>
          <w:szCs w:val="28"/>
        </w:rPr>
        <w:t xml:space="preserve"> à Comissão de </w:t>
      </w:r>
      <w:r w:rsidR="00101D79">
        <w:rPr>
          <w:szCs w:val="28"/>
        </w:rPr>
        <w:t xml:space="preserve">Assuntos Econômicos </w:t>
      </w:r>
      <w:r w:rsidRPr="007078B7">
        <w:rPr>
          <w:szCs w:val="28"/>
        </w:rPr>
        <w:t>opinar sobre a matéria.</w:t>
      </w:r>
      <w:r>
        <w:rPr>
          <w:szCs w:val="28"/>
        </w:rPr>
        <w:t xml:space="preserve"> </w:t>
      </w:r>
    </w:p>
    <w:p w:rsidR="00844526" w:rsidRDefault="00844526" w:rsidP="00844526">
      <w:pPr>
        <w:pStyle w:val="06-Pargrafodetexto-CLG"/>
      </w:pPr>
      <w:r>
        <w:t xml:space="preserve">Encontram-se atendidos os requisitos de constitucionalidade e juridicidade. Nos termos do art. </w:t>
      </w:r>
      <w:r w:rsidR="007E2750">
        <w:t>146</w:t>
      </w:r>
      <w:r>
        <w:t xml:space="preserve">, inciso </w:t>
      </w:r>
      <w:r w:rsidR="007E2750">
        <w:t xml:space="preserve">III, alínea </w:t>
      </w:r>
      <w:r w:rsidR="007E2750" w:rsidRPr="007E2750">
        <w:rPr>
          <w:i/>
        </w:rPr>
        <w:t>a</w:t>
      </w:r>
      <w:r>
        <w:t xml:space="preserve">, </w:t>
      </w:r>
      <w:r w:rsidR="007E2750">
        <w:t xml:space="preserve">e do art. 163, inciso I, </w:t>
      </w:r>
      <w:r>
        <w:t>da Constituição Federal, compete à União</w:t>
      </w:r>
      <w:r w:rsidR="007E2750">
        <w:t>, mediante lei complementar, estabelecer normas gerais em matéria de legislação tributária, inclusive em relação a “bases de cálculo”, bem como dispor sobre “finanças públicas”</w:t>
      </w:r>
      <w:r>
        <w:t>. O projeto</w:t>
      </w:r>
      <w:r w:rsidR="007E2750">
        <w:t>, ademais,</w:t>
      </w:r>
      <w:r>
        <w:t xml:space="preserve"> conforma-se adequadamente ao ordenamento jurídico vigente. De outra parte, a matéria não integra o campo reservado pelo § 1º do art. 61 à iniciativa privativa do Presidente da República, sendo lícita a autoria parlamentar.</w:t>
      </w:r>
    </w:p>
    <w:p w:rsidR="00844526" w:rsidRDefault="00844526" w:rsidP="00844526">
      <w:pPr>
        <w:pStyle w:val="06-Pargrafodetexto-CLG"/>
      </w:pPr>
      <w:r>
        <w:t>No tocante à técnica legislativa, a proposição não merece reparo, visto que respeita os preceitos da Lei Complementar nº 95, de 26 de fevereiro de 1998, que dispõe sobre a elaboração, a redação, a alteração e a consolidação das leis.</w:t>
      </w:r>
    </w:p>
    <w:p w:rsidR="007E2750" w:rsidRDefault="00E54151" w:rsidP="007E2750">
      <w:pPr>
        <w:pStyle w:val="06-Pargrafodetexto-CLG"/>
        <w:spacing w:after="240"/>
        <w:rPr>
          <w:szCs w:val="28"/>
        </w:rPr>
      </w:pPr>
      <w:r>
        <w:t xml:space="preserve">Trata-se de </w:t>
      </w:r>
      <w:r w:rsidR="007E2750">
        <w:rPr>
          <w:szCs w:val="28"/>
        </w:rPr>
        <w:t>iniciativa mer</w:t>
      </w:r>
      <w:r>
        <w:rPr>
          <w:szCs w:val="28"/>
        </w:rPr>
        <w:t>itória</w:t>
      </w:r>
      <w:r w:rsidR="007E2750">
        <w:rPr>
          <w:szCs w:val="28"/>
        </w:rPr>
        <w:t xml:space="preserve">. </w:t>
      </w:r>
    </w:p>
    <w:p w:rsidR="00E54151" w:rsidRDefault="00E54151" w:rsidP="00E54151">
      <w:pPr>
        <w:pStyle w:val="06-Pargrafodetexto-CLG"/>
        <w:spacing w:after="240"/>
        <w:rPr>
          <w:szCs w:val="28"/>
        </w:rPr>
      </w:pPr>
      <w:r>
        <w:rPr>
          <w:szCs w:val="28"/>
        </w:rPr>
        <w:t>De fato, a autonomia municipal, trazida pela Constituição de 1988, carece não apenas da aguardada reforma tributária, a ser construída com o propósito de tornar mais consentâneos os encargos e os meios atribuídos aos diferentes entes da Federação, mas também do imprescindível esforço de cada um desses entes com vistas ao equilíbrio financeiro e à promoção da justiça fiscal.</w:t>
      </w:r>
    </w:p>
    <w:p w:rsidR="00BD6ACF" w:rsidRDefault="00C46610" w:rsidP="00101D79">
      <w:pPr>
        <w:pStyle w:val="06-Pargrafodetexto-CLG"/>
        <w:spacing w:after="240"/>
        <w:rPr>
          <w:szCs w:val="28"/>
        </w:rPr>
      </w:pPr>
      <w:r>
        <w:rPr>
          <w:szCs w:val="28"/>
        </w:rPr>
        <w:t xml:space="preserve">Verdadeiro estatuto de ordenação </w:t>
      </w:r>
      <w:r w:rsidR="007E2750">
        <w:rPr>
          <w:szCs w:val="28"/>
        </w:rPr>
        <w:t xml:space="preserve">financeira da ação </w:t>
      </w:r>
      <w:r w:rsidR="00BD6ACF">
        <w:rPr>
          <w:szCs w:val="28"/>
        </w:rPr>
        <w:t>governamenta</w:t>
      </w:r>
      <w:r w:rsidR="007E2750">
        <w:rPr>
          <w:szCs w:val="28"/>
        </w:rPr>
        <w:t>l</w:t>
      </w:r>
      <w:r>
        <w:rPr>
          <w:szCs w:val="28"/>
        </w:rPr>
        <w:t>, a Lei de Responsabilidade Fiscal</w:t>
      </w:r>
      <w:r w:rsidR="00BD6ACF">
        <w:rPr>
          <w:szCs w:val="28"/>
        </w:rPr>
        <w:t xml:space="preserve"> (LRF) em boa hora instituiu “</w:t>
      </w:r>
      <w:r w:rsidR="00BD6ACF" w:rsidRPr="00BD6ACF">
        <w:rPr>
          <w:szCs w:val="28"/>
        </w:rPr>
        <w:t>normas de finanças públicas voltadas para a responsabilidade na gestão fiscal</w:t>
      </w:r>
      <w:r w:rsidR="00BD6ACF">
        <w:rPr>
          <w:szCs w:val="28"/>
        </w:rPr>
        <w:t>”</w:t>
      </w:r>
      <w:r w:rsidR="007E2750">
        <w:rPr>
          <w:szCs w:val="28"/>
        </w:rPr>
        <w:t>,</w:t>
      </w:r>
      <w:r w:rsidR="00BD6ACF">
        <w:rPr>
          <w:szCs w:val="28"/>
        </w:rPr>
        <w:t xml:space="preserve"> que vinculam indistintamente todos os entes federativos. </w:t>
      </w:r>
    </w:p>
    <w:p w:rsidR="00BD6ACF" w:rsidRDefault="00BD6ACF" w:rsidP="00101D79">
      <w:pPr>
        <w:pStyle w:val="06-Pargrafodetexto-CLG"/>
        <w:spacing w:after="240"/>
        <w:rPr>
          <w:szCs w:val="28"/>
        </w:rPr>
      </w:pPr>
      <w:r>
        <w:rPr>
          <w:szCs w:val="28"/>
        </w:rPr>
        <w:t>Como define a própria Lei,</w:t>
      </w:r>
    </w:p>
    <w:p w:rsidR="00BD6ACF" w:rsidRPr="00BD6ACF" w:rsidRDefault="00BD6ACF" w:rsidP="00BD6ACF">
      <w:pPr>
        <w:pStyle w:val="06-Pargrafodetexto-CLG"/>
        <w:spacing w:after="240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proofErr w:type="gramEnd"/>
      <w:r w:rsidRPr="00BD6ACF">
        <w:rPr>
          <w:sz w:val="24"/>
          <w:szCs w:val="24"/>
        </w:rPr>
        <w:t xml:space="preserve"> responsabilidade na gestão fiscal pressupõe a ação planejada e transparente, em que se previnem riscos e corrigem desvios capazes de afetar o equilíbrio das contas públicas, mediante o cumprimento de metas de resultados entre receitas e despesas e a obediência a limites e condições no que tange a renúncia de receita, geração de despesas com pessoal, da seguridade social e outras, dívidas consolidada e mobiliária, operações de crédito, inclusive por antecipação de receita, concessão de garantia e inscrição em Restos a Pagar.</w:t>
      </w:r>
    </w:p>
    <w:p w:rsidR="00B20FA0" w:rsidRDefault="00E54151" w:rsidP="00666A62">
      <w:pPr>
        <w:pStyle w:val="06-Pargrafodetexto-CLG"/>
        <w:spacing w:after="480"/>
        <w:rPr>
          <w:szCs w:val="28"/>
        </w:rPr>
      </w:pPr>
      <w:r>
        <w:rPr>
          <w:szCs w:val="28"/>
        </w:rPr>
        <w:t>Assim, a</w:t>
      </w:r>
      <w:r w:rsidR="00BD6ACF">
        <w:rPr>
          <w:szCs w:val="28"/>
        </w:rPr>
        <w:t xml:space="preserve">o instituir mecanismo por meio do qual as autoridades locais passam a ser </w:t>
      </w:r>
      <w:proofErr w:type="gramStart"/>
      <w:r w:rsidR="00BD6ACF">
        <w:rPr>
          <w:szCs w:val="28"/>
        </w:rPr>
        <w:t>instadas</w:t>
      </w:r>
      <w:proofErr w:type="gramEnd"/>
      <w:r w:rsidR="00BD6ACF">
        <w:rPr>
          <w:szCs w:val="28"/>
        </w:rPr>
        <w:t xml:space="preserve"> a promover a revisão da Planta Genérica de Valores</w:t>
      </w:r>
      <w:r>
        <w:rPr>
          <w:szCs w:val="28"/>
        </w:rPr>
        <w:t>,</w:t>
      </w:r>
      <w:r w:rsidR="00BD6ACF">
        <w:rPr>
          <w:szCs w:val="28"/>
        </w:rPr>
        <w:t xml:space="preserve"> assim como </w:t>
      </w:r>
      <w:r w:rsidR="00D13A2A">
        <w:rPr>
          <w:szCs w:val="28"/>
        </w:rPr>
        <w:t>sua atualização periódica, o</w:t>
      </w:r>
      <w:r w:rsidR="00BD6ACF">
        <w:rPr>
          <w:szCs w:val="28"/>
        </w:rPr>
        <w:t xml:space="preserve"> projeto em pauta</w:t>
      </w:r>
      <w:r w:rsidR="00D13A2A">
        <w:rPr>
          <w:szCs w:val="28"/>
        </w:rPr>
        <w:t xml:space="preserve"> opera no sentido de</w:t>
      </w:r>
      <w:r w:rsidR="00BD6ACF">
        <w:rPr>
          <w:szCs w:val="28"/>
        </w:rPr>
        <w:t xml:space="preserve"> </w:t>
      </w:r>
      <w:r w:rsidR="00D13A2A">
        <w:rPr>
          <w:szCs w:val="28"/>
        </w:rPr>
        <w:t>alcançar o escopo da responsabilidade fiscal</w:t>
      </w:r>
      <w:r>
        <w:rPr>
          <w:szCs w:val="28"/>
        </w:rPr>
        <w:t>, razão pela qual merece acolhimento</w:t>
      </w:r>
      <w:r w:rsidR="00D13A2A">
        <w:rPr>
          <w:szCs w:val="28"/>
        </w:rPr>
        <w:t xml:space="preserve">. </w:t>
      </w:r>
    </w:p>
    <w:p w:rsidR="006E6D29" w:rsidRDefault="006E6D29" w:rsidP="00101D79">
      <w:pPr>
        <w:pStyle w:val="05-Subttulo-CLG"/>
      </w:pPr>
      <w:r>
        <w:t>III – VOTO</w:t>
      </w:r>
    </w:p>
    <w:p w:rsidR="00844526" w:rsidRDefault="00844526" w:rsidP="00844526">
      <w:pPr>
        <w:pStyle w:val="06-Pargrafodetexto-CLG"/>
      </w:pPr>
      <w:r>
        <w:t xml:space="preserve">Em </w:t>
      </w:r>
      <w:r w:rsidRPr="00DE21B7">
        <w:t xml:space="preserve">razão do exposto, voto pela constitucionalidade, juridicidade, boa técnica legislativa e, no mérito, pela </w:t>
      </w:r>
      <w:r w:rsidRPr="00566FC2">
        <w:rPr>
          <w:b/>
        </w:rPr>
        <w:t>aprovação</w:t>
      </w:r>
      <w:r w:rsidRPr="00DE21B7">
        <w:t xml:space="preserve"> do Projeto de Lei d</w:t>
      </w:r>
      <w:r>
        <w:t xml:space="preserve">o Senado </w:t>
      </w:r>
      <w:r w:rsidRPr="00DE21B7">
        <w:t xml:space="preserve">nº </w:t>
      </w:r>
      <w:r w:rsidR="00E54151">
        <w:t>277</w:t>
      </w:r>
      <w:r w:rsidRPr="00DE21B7">
        <w:t>, de 201</w:t>
      </w:r>
      <w:r w:rsidR="00E54151">
        <w:t>4 – Complementar</w:t>
      </w:r>
      <w:r w:rsidR="00080B9C">
        <w:t>.</w:t>
      </w:r>
    </w:p>
    <w:p w:rsidR="006E6D29" w:rsidRDefault="006E6D29" w:rsidP="00101D79">
      <w:pPr>
        <w:pStyle w:val="10-Local-CLG"/>
      </w:pPr>
      <w:r>
        <w:t>Sala da Comissão,</w:t>
      </w:r>
    </w:p>
    <w:p w:rsidR="006E6D29" w:rsidRPr="00402B4C" w:rsidRDefault="006E6D29" w:rsidP="00380957">
      <w:pPr>
        <w:pStyle w:val="Recuodecorpodetexto21"/>
        <w:ind w:firstLine="0"/>
        <w:rPr>
          <w:sz w:val="16"/>
        </w:rPr>
      </w:pPr>
    </w:p>
    <w:p w:rsidR="006E6D29" w:rsidRDefault="006E6D29" w:rsidP="00101D79">
      <w:pPr>
        <w:pStyle w:val="11-Assinaturas-CLG"/>
      </w:pPr>
      <w:r>
        <w:t>, Presidente</w:t>
      </w:r>
    </w:p>
    <w:p w:rsidR="00C03557" w:rsidRDefault="006E6D29" w:rsidP="000523F8">
      <w:pPr>
        <w:pStyle w:val="11-Assinaturas-CLG"/>
      </w:pPr>
      <w:r>
        <w:t>, Relator</w:t>
      </w:r>
      <w:r w:rsidR="007568E1">
        <w:t xml:space="preserve"> </w:t>
      </w:r>
    </w:p>
    <w:sectPr w:rsidR="00C03557" w:rsidSect="00917212">
      <w:headerReference w:type="even" r:id="rId7"/>
      <w:headerReference w:type="default" r:id="rId8"/>
      <w:footerReference w:type="default" r:id="rId9"/>
      <w:pgSz w:w="11907" w:h="16840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1E" w:rsidRDefault="0040731E">
      <w:r>
        <w:separator/>
      </w:r>
    </w:p>
  </w:endnote>
  <w:endnote w:type="continuationSeparator" w:id="0">
    <w:p w:rsidR="0040731E" w:rsidRDefault="0040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F4" w:rsidRPr="00FB4106" w:rsidRDefault="00D476F4" w:rsidP="00FB4106">
    <w:pPr>
      <w:pStyle w:val="Rodap"/>
      <w:rPr>
        <w:i/>
        <w:iCs/>
        <w:sz w:val="18"/>
      </w:rPr>
    </w:pPr>
    <w:proofErr w:type="gramStart"/>
    <w:r>
      <w:rPr>
        <w:i/>
        <w:iCs/>
        <w:sz w:val="18"/>
      </w:rPr>
      <w:t>j</w:t>
    </w:r>
    <w:r w:rsidRPr="00FB4106">
      <w:rPr>
        <w:i/>
        <w:iCs/>
        <w:sz w:val="18"/>
      </w:rPr>
      <w:t>c</w:t>
    </w:r>
    <w:r>
      <w:rPr>
        <w:i/>
        <w:iCs/>
        <w:sz w:val="18"/>
      </w:rPr>
      <w:t>2014</w:t>
    </w:r>
    <w:proofErr w:type="gramEnd"/>
    <w:r>
      <w:rPr>
        <w:i/>
        <w:iCs/>
        <w:sz w:val="18"/>
      </w:rPr>
      <w:t>-0</w:t>
    </w:r>
    <w:r w:rsidR="00C46610">
      <w:rPr>
        <w:i/>
        <w:iCs/>
        <w:sz w:val="18"/>
      </w:rPr>
      <w:t>6289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1E" w:rsidRDefault="0040731E">
      <w:r>
        <w:separator/>
      </w:r>
    </w:p>
  </w:footnote>
  <w:footnote w:type="continuationSeparator" w:id="0">
    <w:p w:rsidR="0040731E" w:rsidRDefault="00407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F4" w:rsidRDefault="006D34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76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76F4" w:rsidRDefault="00D476F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F4" w:rsidRDefault="006D34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76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0B9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476F4" w:rsidRDefault="00D476F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662E"/>
    <w:multiLevelType w:val="singleLevel"/>
    <w:tmpl w:val="6D8E3BB6"/>
    <w:lvl w:ilvl="0">
      <w:start w:val="1"/>
      <w:numFmt w:val="decimal"/>
      <w:lvlText w:val="%1)"/>
      <w:legacy w:legacy="1" w:legacySpace="120" w:legacyIndent="360"/>
      <w:lvlJc w:val="left"/>
      <w:pPr>
        <w:ind w:left="177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8E1"/>
    <w:rsid w:val="00001F2B"/>
    <w:rsid w:val="0002308B"/>
    <w:rsid w:val="000523F8"/>
    <w:rsid w:val="000622DE"/>
    <w:rsid w:val="00071188"/>
    <w:rsid w:val="00080B9C"/>
    <w:rsid w:val="00086BC6"/>
    <w:rsid w:val="000922D1"/>
    <w:rsid w:val="000967B0"/>
    <w:rsid w:val="000B21CC"/>
    <w:rsid w:val="000D2576"/>
    <w:rsid w:val="000F2418"/>
    <w:rsid w:val="000F2C02"/>
    <w:rsid w:val="00101D79"/>
    <w:rsid w:val="00111030"/>
    <w:rsid w:val="0011322E"/>
    <w:rsid w:val="00136FE6"/>
    <w:rsid w:val="0015193E"/>
    <w:rsid w:val="001557E9"/>
    <w:rsid w:val="00174A76"/>
    <w:rsid w:val="001A491D"/>
    <w:rsid w:val="001B3050"/>
    <w:rsid w:val="001C1C0B"/>
    <w:rsid w:val="0022752B"/>
    <w:rsid w:val="002372E7"/>
    <w:rsid w:val="002373D1"/>
    <w:rsid w:val="00244726"/>
    <w:rsid w:val="00255DD7"/>
    <w:rsid w:val="002636FC"/>
    <w:rsid w:val="00265DEA"/>
    <w:rsid w:val="00274DB9"/>
    <w:rsid w:val="00276337"/>
    <w:rsid w:val="00282A17"/>
    <w:rsid w:val="00293949"/>
    <w:rsid w:val="002D56A3"/>
    <w:rsid w:val="002E2A09"/>
    <w:rsid w:val="003001C3"/>
    <w:rsid w:val="00301455"/>
    <w:rsid w:val="0031795D"/>
    <w:rsid w:val="00353980"/>
    <w:rsid w:val="003634F8"/>
    <w:rsid w:val="0036433B"/>
    <w:rsid w:val="00380957"/>
    <w:rsid w:val="00385A22"/>
    <w:rsid w:val="003A15E0"/>
    <w:rsid w:val="003A518C"/>
    <w:rsid w:val="003A6924"/>
    <w:rsid w:val="003B2B70"/>
    <w:rsid w:val="003B4FD9"/>
    <w:rsid w:val="003C43D2"/>
    <w:rsid w:val="003E0709"/>
    <w:rsid w:val="003E77EE"/>
    <w:rsid w:val="00401CD7"/>
    <w:rsid w:val="00402B4C"/>
    <w:rsid w:val="0040731E"/>
    <w:rsid w:val="0040734D"/>
    <w:rsid w:val="00416EA8"/>
    <w:rsid w:val="00421AC8"/>
    <w:rsid w:val="00423072"/>
    <w:rsid w:val="00433BE2"/>
    <w:rsid w:val="00442DDA"/>
    <w:rsid w:val="00443474"/>
    <w:rsid w:val="00472471"/>
    <w:rsid w:val="00486FE4"/>
    <w:rsid w:val="00494E6A"/>
    <w:rsid w:val="004A0AAE"/>
    <w:rsid w:val="004C1B19"/>
    <w:rsid w:val="004C2F0A"/>
    <w:rsid w:val="004E18AC"/>
    <w:rsid w:val="00505C49"/>
    <w:rsid w:val="0056178A"/>
    <w:rsid w:val="005A155D"/>
    <w:rsid w:val="005F74CA"/>
    <w:rsid w:val="0060483C"/>
    <w:rsid w:val="00636DCE"/>
    <w:rsid w:val="00653387"/>
    <w:rsid w:val="00666A62"/>
    <w:rsid w:val="00677EC9"/>
    <w:rsid w:val="006C1EB2"/>
    <w:rsid w:val="006C3471"/>
    <w:rsid w:val="006D34ED"/>
    <w:rsid w:val="006D36E2"/>
    <w:rsid w:val="006D5CE0"/>
    <w:rsid w:val="006E6D29"/>
    <w:rsid w:val="007078B7"/>
    <w:rsid w:val="007157A5"/>
    <w:rsid w:val="00716B7F"/>
    <w:rsid w:val="00726294"/>
    <w:rsid w:val="007374DE"/>
    <w:rsid w:val="007445BB"/>
    <w:rsid w:val="00752720"/>
    <w:rsid w:val="007568E1"/>
    <w:rsid w:val="00767D7A"/>
    <w:rsid w:val="007E2750"/>
    <w:rsid w:val="007F4802"/>
    <w:rsid w:val="007F699D"/>
    <w:rsid w:val="00800781"/>
    <w:rsid w:val="008068B4"/>
    <w:rsid w:val="0081222F"/>
    <w:rsid w:val="00844526"/>
    <w:rsid w:val="00844BC7"/>
    <w:rsid w:val="00870512"/>
    <w:rsid w:val="00873A39"/>
    <w:rsid w:val="00886EC8"/>
    <w:rsid w:val="00891D0F"/>
    <w:rsid w:val="008965C4"/>
    <w:rsid w:val="00897436"/>
    <w:rsid w:val="008C4C66"/>
    <w:rsid w:val="008E2F40"/>
    <w:rsid w:val="008E331B"/>
    <w:rsid w:val="008E6290"/>
    <w:rsid w:val="008E6EFB"/>
    <w:rsid w:val="009040C8"/>
    <w:rsid w:val="00913C07"/>
    <w:rsid w:val="00917212"/>
    <w:rsid w:val="0092017B"/>
    <w:rsid w:val="0093044E"/>
    <w:rsid w:val="00962BB3"/>
    <w:rsid w:val="009721DA"/>
    <w:rsid w:val="00977EA0"/>
    <w:rsid w:val="0098370C"/>
    <w:rsid w:val="009A3A3A"/>
    <w:rsid w:val="009B293C"/>
    <w:rsid w:val="009B5C1B"/>
    <w:rsid w:val="009F7351"/>
    <w:rsid w:val="00A25916"/>
    <w:rsid w:val="00A33813"/>
    <w:rsid w:val="00A344E9"/>
    <w:rsid w:val="00A40707"/>
    <w:rsid w:val="00A47B5F"/>
    <w:rsid w:val="00A50F69"/>
    <w:rsid w:val="00A6704A"/>
    <w:rsid w:val="00AA5A21"/>
    <w:rsid w:val="00AA6023"/>
    <w:rsid w:val="00AD539B"/>
    <w:rsid w:val="00B20FA0"/>
    <w:rsid w:val="00B40F1C"/>
    <w:rsid w:val="00B73FA3"/>
    <w:rsid w:val="00BA35EA"/>
    <w:rsid w:val="00BB2FFD"/>
    <w:rsid w:val="00BB653A"/>
    <w:rsid w:val="00BD042E"/>
    <w:rsid w:val="00BD1355"/>
    <w:rsid w:val="00BD6ACF"/>
    <w:rsid w:val="00C02397"/>
    <w:rsid w:val="00C02B8B"/>
    <w:rsid w:val="00C03557"/>
    <w:rsid w:val="00C03E3C"/>
    <w:rsid w:val="00C07A75"/>
    <w:rsid w:val="00C170FC"/>
    <w:rsid w:val="00C46610"/>
    <w:rsid w:val="00C61925"/>
    <w:rsid w:val="00CC70A1"/>
    <w:rsid w:val="00CD753F"/>
    <w:rsid w:val="00CE049A"/>
    <w:rsid w:val="00CE468F"/>
    <w:rsid w:val="00CF04F4"/>
    <w:rsid w:val="00CF77BA"/>
    <w:rsid w:val="00D04895"/>
    <w:rsid w:val="00D07C6E"/>
    <w:rsid w:val="00D10EC0"/>
    <w:rsid w:val="00D13A2A"/>
    <w:rsid w:val="00D14597"/>
    <w:rsid w:val="00D30626"/>
    <w:rsid w:val="00D475B9"/>
    <w:rsid w:val="00D476F4"/>
    <w:rsid w:val="00D5632F"/>
    <w:rsid w:val="00D6096D"/>
    <w:rsid w:val="00D7123B"/>
    <w:rsid w:val="00DC181E"/>
    <w:rsid w:val="00DE4FBD"/>
    <w:rsid w:val="00E02BBC"/>
    <w:rsid w:val="00E07477"/>
    <w:rsid w:val="00E13273"/>
    <w:rsid w:val="00E54151"/>
    <w:rsid w:val="00E608BE"/>
    <w:rsid w:val="00E763D0"/>
    <w:rsid w:val="00E8681A"/>
    <w:rsid w:val="00E8761A"/>
    <w:rsid w:val="00E91101"/>
    <w:rsid w:val="00E964C7"/>
    <w:rsid w:val="00EA6CC3"/>
    <w:rsid w:val="00ED18E9"/>
    <w:rsid w:val="00EE14D4"/>
    <w:rsid w:val="00EF1561"/>
    <w:rsid w:val="00F02513"/>
    <w:rsid w:val="00F25947"/>
    <w:rsid w:val="00F44135"/>
    <w:rsid w:val="00F46A7A"/>
    <w:rsid w:val="00F47B10"/>
    <w:rsid w:val="00FB4106"/>
    <w:rsid w:val="00FC37D6"/>
    <w:rsid w:val="00FC3958"/>
    <w:rsid w:val="00FC4BC4"/>
    <w:rsid w:val="00FD45A4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4E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34ED"/>
    <w:pPr>
      <w:keepNext/>
      <w:overflowPunct w:val="0"/>
      <w:autoSpaceDE w:val="0"/>
      <w:autoSpaceDN w:val="0"/>
      <w:adjustRightInd w:val="0"/>
      <w:ind w:firstLine="1418"/>
      <w:jc w:val="both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D34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6D34ED"/>
    <w:pPr>
      <w:keepNext/>
      <w:autoSpaceDE w:val="0"/>
      <w:autoSpaceDN w:val="0"/>
      <w:adjustRightInd w:val="0"/>
      <w:ind w:right="82"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6D34ED"/>
    <w:pPr>
      <w:keepNext/>
      <w:tabs>
        <w:tab w:val="left" w:pos="-1985"/>
      </w:tabs>
      <w:ind w:firstLine="1418"/>
      <w:jc w:val="center"/>
      <w:outlineLvl w:val="3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D34ED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Corpodetexto21">
    <w:name w:val="Corpo de texto 21"/>
    <w:basedOn w:val="Normal"/>
    <w:rsid w:val="006D34ED"/>
    <w:pPr>
      <w:overflowPunct w:val="0"/>
      <w:autoSpaceDE w:val="0"/>
      <w:autoSpaceDN w:val="0"/>
      <w:adjustRightInd w:val="0"/>
      <w:ind w:left="4956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rsid w:val="006D34ED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8"/>
      <w:szCs w:val="20"/>
    </w:rPr>
  </w:style>
  <w:style w:type="paragraph" w:styleId="Corpodetexto">
    <w:name w:val="Body Text"/>
    <w:basedOn w:val="Normal"/>
    <w:rsid w:val="006D34E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6D34E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34ED"/>
  </w:style>
  <w:style w:type="paragraph" w:styleId="Rodap">
    <w:name w:val="footer"/>
    <w:basedOn w:val="Normal"/>
    <w:rsid w:val="006D34ED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6D34ED"/>
    <w:pPr>
      <w:autoSpaceDE w:val="0"/>
      <w:autoSpaceDN w:val="0"/>
      <w:adjustRightInd w:val="0"/>
      <w:ind w:left="3960" w:right="82"/>
      <w:jc w:val="both"/>
    </w:pPr>
  </w:style>
  <w:style w:type="paragraph" w:styleId="Recuodecorpodetexto2">
    <w:name w:val="Body Text Indent 2"/>
    <w:basedOn w:val="Normal"/>
    <w:rsid w:val="000967B0"/>
    <w:pPr>
      <w:spacing w:after="120" w:line="480" w:lineRule="auto"/>
      <w:ind w:left="283"/>
    </w:pPr>
  </w:style>
  <w:style w:type="paragraph" w:customStyle="1" w:styleId="texto1">
    <w:name w:val="texto1"/>
    <w:basedOn w:val="Normal"/>
    <w:rsid w:val="001C1C0B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8C4C66"/>
    <w:rPr>
      <w:sz w:val="24"/>
      <w:lang w:val="pt-BR" w:eastAsia="pt-BR" w:bidi="ar-SA"/>
    </w:rPr>
  </w:style>
  <w:style w:type="paragraph" w:styleId="Textodebalo">
    <w:name w:val="Balloon Text"/>
    <w:basedOn w:val="Normal"/>
    <w:semiHidden/>
    <w:rsid w:val="002373D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2373D1"/>
    <w:rPr>
      <w:sz w:val="16"/>
      <w:szCs w:val="16"/>
    </w:rPr>
  </w:style>
  <w:style w:type="paragraph" w:styleId="Textodecomentrio">
    <w:name w:val="annotation text"/>
    <w:basedOn w:val="Normal"/>
    <w:semiHidden/>
    <w:rsid w:val="002373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373D1"/>
    <w:rPr>
      <w:b/>
      <w:bCs/>
    </w:rPr>
  </w:style>
  <w:style w:type="paragraph" w:customStyle="1" w:styleId="01-TtuloEstudoNota-CLG">
    <w:name w:val="01 - Título Estudo Nota - CLG"/>
    <w:link w:val="01-TtuloEstudoNota-CLGChar"/>
    <w:rsid w:val="00C03557"/>
    <w:pPr>
      <w:spacing w:after="1200"/>
      <w:jc w:val="center"/>
    </w:pPr>
    <w:rPr>
      <w:b/>
      <w:bCs/>
      <w:sz w:val="34"/>
    </w:rPr>
  </w:style>
  <w:style w:type="paragraph" w:customStyle="1" w:styleId="02-EmentaEstudoNota-CLG">
    <w:name w:val="02 - Ementa Estudo Nota - CLG"/>
    <w:link w:val="02-EmentaEstudoNota-CLGChar"/>
    <w:rsid w:val="00C03557"/>
    <w:pPr>
      <w:spacing w:after="1200"/>
      <w:ind w:left="3686"/>
      <w:jc w:val="both"/>
    </w:pPr>
    <w:rPr>
      <w:sz w:val="24"/>
    </w:rPr>
  </w:style>
  <w:style w:type="paragraph" w:customStyle="1" w:styleId="04-PargrafodetextoEstudoNotas-CLG">
    <w:name w:val="04 - Parágrafo de texto Estudo Notas - CLG"/>
    <w:link w:val="04-PargrafodetextoEstudoNotas-CLGChar"/>
    <w:rsid w:val="00C03557"/>
    <w:pPr>
      <w:spacing w:after="360" w:line="360" w:lineRule="auto"/>
      <w:ind w:firstLine="1418"/>
      <w:jc w:val="both"/>
    </w:pPr>
    <w:rPr>
      <w:sz w:val="28"/>
    </w:rPr>
  </w:style>
  <w:style w:type="paragraph" w:customStyle="1" w:styleId="07-LocaleDataEstudoNotas-CLG">
    <w:name w:val="07 - Local e Data Estudo Notas - CLG"/>
    <w:link w:val="07-LocaleDataEstudoNotas-CLGChar"/>
    <w:rsid w:val="00C03557"/>
    <w:pPr>
      <w:spacing w:before="960" w:after="840"/>
      <w:ind w:left="2124"/>
    </w:pPr>
    <w:rPr>
      <w:sz w:val="28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C03557"/>
    <w:pPr>
      <w:jc w:val="center"/>
    </w:pPr>
    <w:rPr>
      <w:sz w:val="28"/>
    </w:rPr>
  </w:style>
  <w:style w:type="character" w:customStyle="1" w:styleId="01-TtuloEstudoNota-CLGChar">
    <w:name w:val="01 - Título Estudo Nota - CLG Char"/>
    <w:link w:val="01-TtuloEstudoNota-CLG"/>
    <w:rsid w:val="00C03557"/>
    <w:rPr>
      <w:b/>
      <w:bCs/>
      <w:sz w:val="34"/>
      <w:lang w:val="pt-BR" w:eastAsia="pt-BR" w:bidi="ar-SA"/>
    </w:rPr>
  </w:style>
  <w:style w:type="character" w:customStyle="1" w:styleId="02-EmentaEstudoNota-CLGChar">
    <w:name w:val="02 - Ementa Estudo Nota - CLG Char"/>
    <w:link w:val="02-EmentaEstudoNota-CLG"/>
    <w:rsid w:val="00C03557"/>
    <w:rPr>
      <w:sz w:val="24"/>
      <w:lang w:val="pt-BR" w:eastAsia="pt-BR" w:bidi="ar-SA"/>
    </w:rPr>
  </w:style>
  <w:style w:type="character" w:customStyle="1" w:styleId="04-PargrafodetextoEstudoNotas-CLGChar">
    <w:name w:val="04 - Parágrafo de texto Estudo Notas - CLG Char"/>
    <w:link w:val="04-PargrafodetextoEstudoNotas-CLG"/>
    <w:rsid w:val="00C03557"/>
    <w:rPr>
      <w:sz w:val="28"/>
      <w:lang w:val="pt-BR" w:eastAsia="pt-BR" w:bidi="ar-SA"/>
    </w:rPr>
  </w:style>
  <w:style w:type="character" w:customStyle="1" w:styleId="07-LocaleDataEstudoNotas-CLGChar">
    <w:name w:val="07 - Local e Data Estudo Notas - CLG Char"/>
    <w:link w:val="07-LocaleDataEstudoNotas-CLG"/>
    <w:rsid w:val="00C03557"/>
    <w:rPr>
      <w:sz w:val="28"/>
      <w:lang w:val="pt-BR" w:eastAsia="pt-BR" w:bidi="ar-SA"/>
    </w:rPr>
  </w:style>
  <w:style w:type="character" w:customStyle="1" w:styleId="08-IdentificaoConsultor-CargoEstudoNota-CLGChar">
    <w:name w:val="08 - Identificação Consultor-Cargo Estudo Nota - CLG Char"/>
    <w:link w:val="08-IdentificaoConsultor-CargoEstudoNota-CLG"/>
    <w:rsid w:val="00C03557"/>
    <w:rPr>
      <w:sz w:val="28"/>
      <w:lang w:val="pt-BR" w:eastAsia="pt-BR" w:bidi="ar-SA"/>
    </w:rPr>
  </w:style>
  <w:style w:type="paragraph" w:customStyle="1" w:styleId="03-SubttuloEstudoNota-CLG">
    <w:name w:val="03 - Subtítulo Estudo Nota - CLG"/>
    <w:rsid w:val="00C03557"/>
    <w:pPr>
      <w:spacing w:after="360" w:line="420" w:lineRule="exact"/>
      <w:ind w:left="357" w:hanging="357"/>
    </w:pPr>
    <w:rPr>
      <w:sz w:val="28"/>
    </w:rPr>
  </w:style>
  <w:style w:type="paragraph" w:customStyle="1" w:styleId="05-Citaolegal-linhasiniciais-CLG">
    <w:name w:val="05 - Citação legal - linhas iniciais - CLG"/>
    <w:rsid w:val="00C03557"/>
    <w:pPr>
      <w:spacing w:after="120"/>
      <w:ind w:left="1985" w:firstLine="567"/>
      <w:jc w:val="both"/>
    </w:pPr>
    <w:rPr>
      <w:bCs/>
      <w:sz w:val="24"/>
    </w:rPr>
  </w:style>
  <w:style w:type="paragraph" w:customStyle="1" w:styleId="05-Subttulo-CLG">
    <w:name w:val="05 - Subtítulo - CLG"/>
    <w:link w:val="05-Subttulo-CLGChar"/>
    <w:rsid w:val="00C03557"/>
    <w:pPr>
      <w:spacing w:after="480"/>
      <w:jc w:val="both"/>
    </w:pPr>
    <w:rPr>
      <w:b/>
      <w:bCs/>
      <w:sz w:val="28"/>
    </w:rPr>
  </w:style>
  <w:style w:type="character" w:customStyle="1" w:styleId="05-Subttulo-CLGChar">
    <w:name w:val="05 - Subtítulo - CLG Char"/>
    <w:basedOn w:val="Fontepargpadro"/>
    <w:link w:val="05-Subttulo-CLG"/>
    <w:rsid w:val="00C03557"/>
    <w:rPr>
      <w:b/>
      <w:bCs/>
      <w:sz w:val="28"/>
      <w:lang w:val="pt-BR" w:eastAsia="pt-BR" w:bidi="ar-SA"/>
    </w:rPr>
  </w:style>
  <w:style w:type="paragraph" w:customStyle="1" w:styleId="05-Pargrafodetexto-CLG">
    <w:name w:val="05 - Parágrafo de texto - CLG"/>
    <w:link w:val="05-Pargrafodetexto-CLGChar"/>
    <w:rsid w:val="000F2418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basedOn w:val="Fontepargpadro"/>
    <w:link w:val="05-Pargrafodetexto-CLG"/>
    <w:locked/>
    <w:rsid w:val="000F2418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0F2418"/>
    <w:pPr>
      <w:spacing w:after="120"/>
      <w:ind w:left="1985" w:firstLine="567"/>
      <w:jc w:val="both"/>
    </w:pPr>
    <w:rPr>
      <w:bCs/>
      <w:sz w:val="24"/>
    </w:rPr>
  </w:style>
  <w:style w:type="paragraph" w:customStyle="1" w:styleId="03-Ementa-CLG">
    <w:name w:val="03 - Ementa - CLG"/>
    <w:link w:val="03-Ementa-CLGCharChar"/>
    <w:rsid w:val="008E6EFB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8E6EFB"/>
    <w:rPr>
      <w:rFonts w:eastAsia="Arial Unicode MS"/>
      <w:sz w:val="24"/>
      <w:szCs w:val="24"/>
      <w:lang w:val="pt-BR" w:eastAsia="pt-BR" w:bidi="ar-SA"/>
    </w:rPr>
  </w:style>
  <w:style w:type="paragraph" w:customStyle="1" w:styleId="01-Minuta-CLG">
    <w:name w:val="01 - Minuta - CLG"/>
    <w:link w:val="01-Minuta-CLGChar"/>
    <w:rsid w:val="00C03E3C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C03E3C"/>
    <w:pPr>
      <w:spacing w:after="960"/>
      <w:jc w:val="center"/>
    </w:pPr>
    <w:rPr>
      <w:b/>
      <w:bCs/>
      <w:sz w:val="32"/>
    </w:rPr>
  </w:style>
  <w:style w:type="paragraph" w:customStyle="1" w:styleId="04-Relatoria-CLG">
    <w:name w:val="04 - Relatoria - CLG"/>
    <w:link w:val="04-Relatoria-CLGChar"/>
    <w:rsid w:val="00C03E3C"/>
    <w:pPr>
      <w:spacing w:after="960"/>
      <w:ind w:left="1440"/>
    </w:pPr>
    <w:rPr>
      <w:sz w:val="28"/>
    </w:rPr>
  </w:style>
  <w:style w:type="paragraph" w:customStyle="1" w:styleId="06-Pargrafodetexto-CLG">
    <w:name w:val="06 - Parágrafo de texto - CLG"/>
    <w:link w:val="06-Pargrafodetexto-CLGChar"/>
    <w:rsid w:val="00C03E3C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basedOn w:val="Fontepargpadro"/>
    <w:link w:val="01-Minuta-CLG"/>
    <w:rsid w:val="00C03E3C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C03E3C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C03E3C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C03E3C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C03E3C"/>
    <w:rPr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C03E3C"/>
    <w:rPr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C03E3C"/>
    <w:rPr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C03E3C"/>
    <w:rPr>
      <w:sz w:val="28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0D2576"/>
  </w:style>
  <w:style w:type="paragraph" w:styleId="NormalWeb">
    <w:name w:val="Normal (Web)"/>
    <w:basedOn w:val="Normal"/>
    <w:uiPriority w:val="99"/>
    <w:unhideWhenUsed/>
    <w:rsid w:val="00F441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F44135"/>
    <w:rPr>
      <w:color w:val="0000FF"/>
      <w:u w:val="single"/>
    </w:rPr>
  </w:style>
  <w:style w:type="paragraph" w:customStyle="1" w:styleId="08-Citaolegal-ltimalinha-CLG">
    <w:name w:val="08 - Citação legal - última linha - CLG"/>
    <w:rsid w:val="00844526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rsid w:val="00844526"/>
    <w:pPr>
      <w:spacing w:before="480" w:after="360"/>
      <w:jc w:val="center"/>
    </w:pPr>
    <w:rPr>
      <w:b/>
      <w:bCs/>
      <w:spacing w:val="-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Prodasen</dc:creator>
  <cp:lastModifiedBy>DHIOGOSR</cp:lastModifiedBy>
  <cp:revision>3</cp:revision>
  <cp:lastPrinted>2006-06-20T13:15:00Z</cp:lastPrinted>
  <dcterms:created xsi:type="dcterms:W3CDTF">2014-11-25T13:35:00Z</dcterms:created>
  <dcterms:modified xsi:type="dcterms:W3CDTF">2014-11-25T21:55:00Z</dcterms:modified>
</cp:coreProperties>
</file>