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CB" w:rsidRDefault="00165387" w:rsidP="00961660">
      <w:pPr>
        <w:pStyle w:val="02-TtuloPrincipal-CLG"/>
        <w:spacing w:after="0"/>
      </w:pPr>
      <w:bookmarkStart w:id="0" w:name="_GoBack"/>
      <w:bookmarkEnd w:id="0"/>
      <w:r>
        <w:rPr>
          <w:caps/>
        </w:rPr>
        <w:t>ERRATA a</w:t>
      </w:r>
      <w:r w:rsidR="00F76A11">
        <w:rPr>
          <w:caps/>
        </w:rPr>
        <w:t xml:space="preserve">O </w:t>
      </w:r>
      <w:r w:rsidR="00C218D0">
        <w:rPr>
          <w:caps/>
        </w:rPr>
        <w:t>Parecer</w:t>
      </w:r>
      <w:r w:rsidR="00A85ECB">
        <w:t xml:space="preserve"> Nº       , DE 2015</w:t>
      </w:r>
    </w:p>
    <w:p w:rsidR="00961660" w:rsidRDefault="00961660" w:rsidP="00961660">
      <w:pPr>
        <w:pStyle w:val="02-TtuloPrincipal-CLG"/>
        <w:spacing w:after="0"/>
      </w:pPr>
      <w:r>
        <w:t>Alterações promovidas na reunião de 01/12/2015</w:t>
      </w:r>
    </w:p>
    <w:p w:rsidR="00961660" w:rsidRDefault="00961660" w:rsidP="00961660">
      <w:pPr>
        <w:pStyle w:val="02-TtuloPrincipal-CLG"/>
        <w:spacing w:after="0"/>
      </w:pPr>
    </w:p>
    <w:p w:rsidR="00961660" w:rsidRDefault="00961660" w:rsidP="00961660">
      <w:pPr>
        <w:pStyle w:val="02-TtuloPrincipal-CLG"/>
        <w:spacing w:after="0"/>
      </w:pPr>
    </w:p>
    <w:p w:rsidR="00A85ECB" w:rsidRDefault="00961660" w:rsidP="00A85ECB">
      <w:pPr>
        <w:pStyle w:val="03-Ementa-CLG"/>
      </w:pPr>
      <w:r>
        <w:t>Perante a COMISSÃO MISTA,</w:t>
      </w:r>
      <w:r w:rsidR="00A0468D">
        <w:t xml:space="preserve"> sobre</w:t>
      </w:r>
      <w:r w:rsidR="00574B39">
        <w:t xml:space="preserve"> parecer </w:t>
      </w:r>
      <w:r w:rsidR="00A0468D">
        <w:t xml:space="preserve"> </w:t>
      </w:r>
      <w:r w:rsidR="00574B39">
        <w:t>d</w:t>
      </w:r>
      <w:r w:rsidR="00A0468D">
        <w:t xml:space="preserve">a Medida Provisória nº </w:t>
      </w:r>
      <w:r w:rsidR="00CA2986">
        <w:t>690</w:t>
      </w:r>
      <w:r w:rsidR="00A0468D">
        <w:t xml:space="preserve">, de </w:t>
      </w:r>
      <w:r w:rsidR="00CA2986">
        <w:t xml:space="preserve">31 de agosto de </w:t>
      </w:r>
      <w:r w:rsidR="00A0468D">
        <w:t xml:space="preserve">2015, que </w:t>
      </w:r>
      <w:r w:rsidR="00CA2986">
        <w:rPr>
          <w:i/>
        </w:rPr>
        <w:t>di</w:t>
      </w:r>
      <w:r w:rsidR="00CA2986" w:rsidRPr="00CA2986">
        <w:rPr>
          <w:i/>
        </w:rPr>
        <w:t>spõe sobre a incidência do Imposto sobre Produtos Industrializados - IPI sobre as bebidas classificadas nas posições 22.04, 22.05, 22.06 e 22.08, exceto o código 2208.90.00 Ex 01, da Tabela de Incidência do Imposto sobre Produtos Industrializados - TIPI, aprovada pelo Decreto nº 7.660, de 23 de dezembro de 2011, altera a Lei nº 9.430, de 27 de dezembro de 1996, quanto à legislação do Imposto sobre a Renda de Pessoa Jurídica, e revoga os arts. 28 a 30 da Lei nº 11.196, de 21 de novembro de 2005, que dispõem sobre o Programa de Inclusão Digital</w:t>
      </w:r>
      <w:r w:rsidR="00A0468D">
        <w:t>.</w:t>
      </w:r>
      <w:r w:rsidR="00C218D0">
        <w:t xml:space="preserve"> </w:t>
      </w:r>
    </w:p>
    <w:p w:rsidR="00A85ECB" w:rsidRDefault="00C218D0" w:rsidP="00A85ECB">
      <w:pPr>
        <w:pStyle w:val="04-Relatoria-CLG"/>
      </w:pPr>
      <w:r>
        <w:t xml:space="preserve">Relator: Senador </w:t>
      </w:r>
      <w:r w:rsidR="00CA2986">
        <w:rPr>
          <w:b/>
          <w:caps/>
        </w:rPr>
        <w:t>HUMBERTO COSTA</w:t>
      </w:r>
    </w:p>
    <w:p w:rsidR="00961660" w:rsidRDefault="00961660" w:rsidP="00B967A5">
      <w:pPr>
        <w:pStyle w:val="05-Pargrafodetexto-CLG"/>
        <w:rPr>
          <w:szCs w:val="28"/>
        </w:rPr>
      </w:pPr>
      <w:r>
        <w:rPr>
          <w:szCs w:val="28"/>
        </w:rPr>
        <w:t>Durante o processo de discussão da errata do relatório apresentado à Medida Provisória nº. 690, de 2015, foi consolidado, a partir de entendimentos mantidos com os membros da Comissão Mista, o Projeto de Lei de Conversão ora apresentado.</w:t>
      </w:r>
    </w:p>
    <w:p w:rsidR="00961660" w:rsidRDefault="00961660" w:rsidP="00B967A5">
      <w:pPr>
        <w:pStyle w:val="05-Pargrafodetexto-CLG"/>
        <w:rPr>
          <w:szCs w:val="28"/>
        </w:rPr>
      </w:pPr>
      <w:r>
        <w:rPr>
          <w:szCs w:val="28"/>
        </w:rPr>
        <w:t>Construiu-se um consenso em torno de uma nova redação para os artigos que se referem à alíquota de Imposto sobre Produtos Industrializados (IPI) para bebidas quentes e à revogação dos artigos 28 a 30 da Lei nº. 11.191, de 21 de novembro de 2005, que dispõem sobre o Programa de Inclusão Digital.</w:t>
      </w:r>
    </w:p>
    <w:p w:rsidR="00961660" w:rsidRDefault="00961660" w:rsidP="00B967A5">
      <w:pPr>
        <w:pStyle w:val="05-Pargrafodetexto-CLG"/>
        <w:rPr>
          <w:szCs w:val="28"/>
        </w:rPr>
      </w:pPr>
      <w:r>
        <w:rPr>
          <w:szCs w:val="28"/>
        </w:rPr>
        <w:t>No que diz respeito ao IPI de bebidas quentes, definiu-se alíquota máxima para os produtos classificados na posição 22.04 e 22.08.40.00 da Tabela de Imposto sobre Produtos Industrializados – TIPI.</w:t>
      </w:r>
    </w:p>
    <w:p w:rsidR="00961660" w:rsidRDefault="00961660" w:rsidP="00B967A5">
      <w:pPr>
        <w:pStyle w:val="05-Pargrafodetexto-CLG"/>
        <w:rPr>
          <w:szCs w:val="28"/>
        </w:rPr>
      </w:pPr>
      <w:r>
        <w:rPr>
          <w:szCs w:val="28"/>
        </w:rPr>
        <w:lastRenderedPageBreak/>
        <w:t>Quanto à revogação dos artigos da Lei do Bem, antecipamos a extinção do programa para o ano de 2016 e retomamos os benefícios do programa de forma progressivas nos três anos subsequentes.</w:t>
      </w:r>
    </w:p>
    <w:p w:rsidR="00961660" w:rsidRDefault="00961660" w:rsidP="00B967A5">
      <w:pPr>
        <w:pStyle w:val="05-Pargrafodetexto-CLG"/>
        <w:rPr>
          <w:szCs w:val="28"/>
        </w:rPr>
      </w:pPr>
      <w:r>
        <w:rPr>
          <w:szCs w:val="28"/>
        </w:rPr>
        <w:t>Nesse sentido, apresentamos a presente errata contendo as alterações propostas e a versão consolidada do Projeto de Lei de Conversão que submetemos à apreciação desta Comissão Mista.</w:t>
      </w:r>
    </w:p>
    <w:p w:rsidR="009F03FE" w:rsidRDefault="009F03FE" w:rsidP="009F03FE">
      <w:pPr>
        <w:pStyle w:val="05-Pargrafodetexto-CLG"/>
        <w:ind w:firstLine="0"/>
        <w:rPr>
          <w:b/>
        </w:rPr>
      </w:pPr>
      <w:r>
        <w:rPr>
          <w:b/>
        </w:rPr>
        <w:t>II</w:t>
      </w:r>
      <w:r w:rsidRPr="00574B39">
        <w:rPr>
          <w:b/>
        </w:rPr>
        <w:t xml:space="preserve"> – </w:t>
      </w:r>
      <w:r>
        <w:rPr>
          <w:b/>
        </w:rPr>
        <w:t>VOTO</w:t>
      </w:r>
    </w:p>
    <w:p w:rsidR="009F03FE" w:rsidRDefault="009F03FE" w:rsidP="009F03FE">
      <w:pPr>
        <w:pStyle w:val="05-Pargrafodetexto-CLG"/>
      </w:pPr>
      <w:r>
        <w:t>Diante do exposto</w:t>
      </w:r>
      <w:r w:rsidRPr="007A5A8F">
        <w:t xml:space="preserve">, </w:t>
      </w:r>
      <w:r>
        <w:t>votamos</w:t>
      </w:r>
      <w:r w:rsidRPr="007A5A8F">
        <w:t xml:space="preserve"> pela constitucionalidade e juridicidade da Medida Provisória nº </w:t>
      </w:r>
      <w:r>
        <w:t>690</w:t>
      </w:r>
      <w:r w:rsidRPr="007A5A8F">
        <w:t>, de 201</w:t>
      </w:r>
      <w:r>
        <w:t>5</w:t>
      </w:r>
      <w:r w:rsidRPr="007A5A8F">
        <w:t xml:space="preserve">, </w:t>
      </w:r>
      <w:r>
        <w:t xml:space="preserve">e </w:t>
      </w:r>
      <w:r w:rsidRPr="007A5A8F">
        <w:t xml:space="preserve">pelo atendimento dos pressupostos de relevância, urgência e adequação financeira e orçamentária. </w:t>
      </w:r>
    </w:p>
    <w:p w:rsidR="009F03FE" w:rsidRDefault="009F03FE" w:rsidP="009F03FE">
      <w:pPr>
        <w:pStyle w:val="05-Pargrafodetexto-CLG"/>
      </w:pPr>
      <w:r w:rsidRPr="007A5A8F">
        <w:t xml:space="preserve">No mérito, </w:t>
      </w:r>
      <w:r>
        <w:t>votamos pela</w:t>
      </w:r>
      <w:r w:rsidRPr="007A5A8F">
        <w:t xml:space="preserve"> </w:t>
      </w:r>
      <w:r>
        <w:t xml:space="preserve">aprovação da MPV nº 690, de 2015, e, parcialmente, das Emendas de nºs 1, </w:t>
      </w:r>
      <w:r>
        <w:rPr>
          <w:color w:val="000000"/>
          <w:lang w:eastAsia="en-US"/>
        </w:rPr>
        <w:t>9, 10, 14, 15, 17, 19, 30, 38, 39, 40, 41, 42, 43, 44, 45, 46, 47, 48, 50, 51, 52, 53, 57, 58, 59, 60, 72, 80, 92 e 95,</w:t>
      </w:r>
      <w:r w:rsidRPr="00876F56">
        <w:t xml:space="preserve"> nos termos explicitado</w:t>
      </w:r>
      <w:r>
        <w:t xml:space="preserve">s anteriormente, e pela rejeição das demais emendas, </w:t>
      </w:r>
      <w:r w:rsidRPr="007A5A8F">
        <w:t>na forma do seguin</w:t>
      </w:r>
      <w:r>
        <w:t>te projeto de lei de conversão.</w:t>
      </w:r>
    </w:p>
    <w:p w:rsidR="005D1DA5" w:rsidRDefault="005D1DA5" w:rsidP="009F03FE">
      <w:pPr>
        <w:pStyle w:val="05-Pargrafodetexto-CLG"/>
      </w:pPr>
    </w:p>
    <w:p w:rsidR="003811AD" w:rsidRDefault="003811AD" w:rsidP="003811AD">
      <w:pPr>
        <w:pStyle w:val="02-TtuloPrincipal-CLG"/>
        <w:spacing w:after="120"/>
      </w:pPr>
      <w:r>
        <w:t>PROJETO DE LEI DE CONVERSÃO Nº , DE 2015</w:t>
      </w:r>
    </w:p>
    <w:p w:rsidR="003811AD" w:rsidRPr="00FA1FD2" w:rsidRDefault="003811AD" w:rsidP="003811AD">
      <w:pPr>
        <w:pStyle w:val="02-TtuloPrincipal-CLG"/>
        <w:rPr>
          <w:sz w:val="28"/>
        </w:rPr>
      </w:pPr>
      <w:r>
        <w:rPr>
          <w:sz w:val="28"/>
        </w:rPr>
        <w:t>(À</w:t>
      </w:r>
      <w:r w:rsidRPr="00FA1FD2">
        <w:rPr>
          <w:sz w:val="28"/>
        </w:rPr>
        <w:t xml:space="preserve"> MEDIDA PROVISÓRIA Nº </w:t>
      </w:r>
      <w:r w:rsidR="00987BB2">
        <w:rPr>
          <w:sz w:val="28"/>
        </w:rPr>
        <w:t>690</w:t>
      </w:r>
      <w:r w:rsidRPr="00FA1FD2">
        <w:rPr>
          <w:sz w:val="28"/>
        </w:rPr>
        <w:t>, DE 201</w:t>
      </w:r>
      <w:r>
        <w:rPr>
          <w:sz w:val="28"/>
        </w:rPr>
        <w:t>5</w:t>
      </w:r>
      <w:r w:rsidRPr="00FA1FD2">
        <w:rPr>
          <w:sz w:val="28"/>
        </w:rPr>
        <w:t>)</w:t>
      </w:r>
    </w:p>
    <w:p w:rsidR="003811AD" w:rsidRPr="00D00E9D" w:rsidRDefault="003F7A8A" w:rsidP="003811AD">
      <w:pPr>
        <w:pStyle w:val="03-Ementa-CLG"/>
      </w:pPr>
      <w:r w:rsidRPr="003F7A8A">
        <w:t xml:space="preserve">Dispõe sobre a incidência do Imposto sobre Produtos Industrializados - IPI sobre as bebidas classificadas nas posições 22.04, 22.05, 22.06 e 22.08, exceto o código 2208.90.00 Ex 01, da Tabela de Incidência do Imposto sobre Produtos Industrializados - TIPI, aprovada pelo Decreto nº 7.660, de 23 de dezembro de 2011, altera a Lei nº 9.430, de 27 de dezembro de 1996, quanto à legislação do Imposto sobre a Renda de Pessoa Jurídica, e revoga os arts. 28 a 30 da Lei nº 11.196, </w:t>
      </w:r>
      <w:r w:rsidRPr="003F7A8A">
        <w:lastRenderedPageBreak/>
        <w:t>de 21 de novembro de 2005, que dispõem sobre</w:t>
      </w:r>
      <w:r>
        <w:t xml:space="preserve"> o Programa de Inclusão Digital</w:t>
      </w:r>
      <w:r w:rsidR="003811AD" w:rsidRPr="00D00E9D">
        <w:t>.</w:t>
      </w:r>
    </w:p>
    <w:p w:rsidR="003811AD" w:rsidRPr="00FA1FD2" w:rsidRDefault="003811AD" w:rsidP="003811AD">
      <w:pPr>
        <w:pStyle w:val="04-Relatoria-CLG"/>
      </w:pPr>
      <w:r w:rsidRPr="00FA1FD2">
        <w:t>O CONGRESSO NACIONAL Decreta:</w:t>
      </w:r>
    </w:p>
    <w:p w:rsidR="003F7A8A" w:rsidRDefault="003F7A8A" w:rsidP="003F7A8A">
      <w:pPr>
        <w:pStyle w:val="05-Pargrafodetexto-CLG"/>
      </w:pPr>
      <w:bookmarkStart w:id="1" w:name="art1"/>
      <w:bookmarkEnd w:id="1"/>
      <w:r w:rsidRPr="003F7A8A">
        <w:rPr>
          <w:b/>
        </w:rPr>
        <w:t>Art. 1º</w:t>
      </w:r>
      <w:r>
        <w:t xml:space="preserve"> O Imposto sobre Produtos Industrializados - IPI incidente sobre as bebidas classificadas nas posições 22.04, 22.05, 22.06 e 22.08, exceto o código 2208.90.00 Ex 01, da Tabela de Incidência do Imposto sobre Produtos Industrializados - TIPI, será exigido na forma prevista nesta Lei.</w:t>
      </w:r>
    </w:p>
    <w:p w:rsidR="003F7A8A" w:rsidRDefault="003F7A8A" w:rsidP="003F7A8A">
      <w:pPr>
        <w:pStyle w:val="05-Pargrafodetexto-CLG"/>
      </w:pPr>
      <w:r w:rsidRPr="003F7A8A">
        <w:rPr>
          <w:b/>
        </w:rPr>
        <w:t>Art. 2º</w:t>
      </w:r>
      <w:r>
        <w:t xml:space="preserve"> Os produtos de que trata o art. 1º ficam excluídos do regime tributário do IPI previsto nos arts. 1º a 4º da Lei nº 7.798, de 10 de julho de 1989.</w:t>
      </w:r>
    </w:p>
    <w:p w:rsidR="003F7A8A" w:rsidRDefault="003F7A8A" w:rsidP="003F7A8A">
      <w:pPr>
        <w:pStyle w:val="05-Pargrafodetexto-CLG"/>
      </w:pPr>
      <w:r w:rsidRPr="003F7A8A">
        <w:rPr>
          <w:i/>
        </w:rPr>
        <w:t>Parágrafo único</w:t>
      </w:r>
      <w:r>
        <w:t xml:space="preserve">. Em decorrência do disposto no </w:t>
      </w:r>
      <w:r w:rsidRPr="003F7A8A">
        <w:rPr>
          <w:i/>
        </w:rPr>
        <w:t>caput</w:t>
      </w:r>
      <w:r>
        <w:t>, aplicam-se aos produtos nele referidos as regras previstas na legislação do IPI, inclusive as relativas a:</w:t>
      </w:r>
    </w:p>
    <w:p w:rsidR="003F7A8A" w:rsidRDefault="003F7A8A" w:rsidP="003F7A8A">
      <w:pPr>
        <w:pStyle w:val="05-Pargrafodetexto-CLG"/>
      </w:pPr>
      <w:r>
        <w:t>I - fato gerador;</w:t>
      </w:r>
    </w:p>
    <w:p w:rsidR="003F7A8A" w:rsidRDefault="003F7A8A" w:rsidP="003F7A8A">
      <w:pPr>
        <w:pStyle w:val="05-Pargrafodetexto-CLG"/>
      </w:pPr>
      <w:r>
        <w:t>II - contribuintes e responsáveis;</w:t>
      </w:r>
    </w:p>
    <w:p w:rsidR="003F7A8A" w:rsidRDefault="003F7A8A" w:rsidP="003F7A8A">
      <w:pPr>
        <w:pStyle w:val="05-Pargrafodetexto-CLG"/>
      </w:pPr>
      <w:r>
        <w:t>III - base de cálculo; e</w:t>
      </w:r>
    </w:p>
    <w:p w:rsidR="003F7A8A" w:rsidRDefault="003F7A8A" w:rsidP="003F7A8A">
      <w:pPr>
        <w:pStyle w:val="05-Pargrafodetexto-CLG"/>
      </w:pPr>
      <w:r>
        <w:t>IV - cálculo do imposto.</w:t>
      </w:r>
    </w:p>
    <w:p w:rsidR="003F7A8A" w:rsidRDefault="00B207A1" w:rsidP="003F7A8A">
      <w:pPr>
        <w:pStyle w:val="05-Pargrafodetexto-CLG"/>
      </w:pPr>
      <w:r w:rsidRPr="00B207A1">
        <w:rPr>
          <w:b/>
        </w:rPr>
        <w:t xml:space="preserve">Art. </w:t>
      </w:r>
      <w:r w:rsidR="003B6DCD">
        <w:rPr>
          <w:b/>
        </w:rPr>
        <w:t>3</w:t>
      </w:r>
      <w:r w:rsidRPr="00B207A1">
        <w:rPr>
          <w:b/>
        </w:rPr>
        <w:t>º</w:t>
      </w:r>
      <w:r>
        <w:t xml:space="preserve"> </w:t>
      </w:r>
      <w:r w:rsidR="003F7A8A">
        <w:t>Quando a industrialização dos produtos de que trata o art. 1º se der por encomenda, o IPI será devido na saída do produto:</w:t>
      </w:r>
    </w:p>
    <w:p w:rsidR="003F7A8A" w:rsidRDefault="003F7A8A" w:rsidP="003F7A8A">
      <w:pPr>
        <w:pStyle w:val="05-Pargrafodetexto-CLG"/>
      </w:pPr>
      <w:r>
        <w:t>I - do estabelecimento que o industrializar; e</w:t>
      </w:r>
    </w:p>
    <w:p w:rsidR="003F7A8A" w:rsidRDefault="003F7A8A" w:rsidP="003F7A8A">
      <w:pPr>
        <w:pStyle w:val="05-Pargrafodetexto-CLG"/>
      </w:pPr>
      <w:r>
        <w:t>II - do estabelecimento encomendante, que poderá creditar-se do IPI cobrado conforme o disposto no inciso I.</w:t>
      </w:r>
    </w:p>
    <w:p w:rsidR="003F7A8A" w:rsidRDefault="003F7A8A" w:rsidP="003F7A8A">
      <w:pPr>
        <w:pStyle w:val="05-Pargrafodetexto-CLG"/>
      </w:pPr>
      <w:r w:rsidRPr="003F7A8A">
        <w:rPr>
          <w:i/>
        </w:rPr>
        <w:t>Parágrafo único</w:t>
      </w:r>
      <w:r>
        <w:t xml:space="preserve">.  O encomendante e o industrial respondem solidariamente pelo IPI devido nas operações de que trata o </w:t>
      </w:r>
      <w:r w:rsidRPr="003F7A8A">
        <w:rPr>
          <w:i/>
        </w:rPr>
        <w:t>caput</w:t>
      </w:r>
      <w:r>
        <w:t>.</w:t>
      </w:r>
    </w:p>
    <w:p w:rsidR="003F7A8A" w:rsidRDefault="003F7A8A" w:rsidP="003F7A8A">
      <w:pPr>
        <w:pStyle w:val="05-Pargrafodetexto-CLG"/>
      </w:pPr>
      <w:r w:rsidRPr="003F7A8A">
        <w:rPr>
          <w:b/>
        </w:rPr>
        <w:t xml:space="preserve">Art. </w:t>
      </w:r>
      <w:r w:rsidR="003B6DCD">
        <w:rPr>
          <w:b/>
        </w:rPr>
        <w:t>4</w:t>
      </w:r>
      <w:r w:rsidRPr="003F7A8A">
        <w:rPr>
          <w:b/>
        </w:rPr>
        <w:t>º</w:t>
      </w:r>
      <w:r>
        <w:t xml:space="preserve"> Fica equiparado a industrial, nas saídas dos produtos de que trata o art. 1º, o estabelecimento de pessoa jurídica: </w:t>
      </w:r>
    </w:p>
    <w:p w:rsidR="003F7A8A" w:rsidRDefault="003F7A8A" w:rsidP="003F7A8A">
      <w:pPr>
        <w:pStyle w:val="05-Pargrafodetexto-CLG"/>
      </w:pPr>
      <w:r>
        <w:t>I - caracterizada como controladora, controlada ou coligada de pessoa jurídica que industrializa ou importa os produtos de que trata o art. 1º, na forma definida no art. 243 da Lei nº 6.404, de 15 de dezembro de 1976;</w:t>
      </w:r>
    </w:p>
    <w:p w:rsidR="003F7A8A" w:rsidRDefault="003F7A8A" w:rsidP="003F7A8A">
      <w:pPr>
        <w:pStyle w:val="05-Pargrafodetexto-CLG"/>
      </w:pPr>
      <w:r>
        <w:t>II - caracterizada como filial de pessoa jurídica que industrializa ou importa os produtos de que trata o art. 1º;</w:t>
      </w:r>
    </w:p>
    <w:p w:rsidR="003F7A8A" w:rsidRDefault="003F7A8A" w:rsidP="003F7A8A">
      <w:pPr>
        <w:pStyle w:val="05-Pargrafodetexto-CLG"/>
      </w:pPr>
      <w:r>
        <w:t>III - que, juntamente com pessoa jurídica que industrializa ou importa os produtos de que trata o art. 1º, estiver sob controle societário ou administrativo comum;</w:t>
      </w:r>
    </w:p>
    <w:p w:rsidR="003F7A8A" w:rsidRDefault="003F7A8A" w:rsidP="003F7A8A">
      <w:pPr>
        <w:pStyle w:val="05-Pargrafodetexto-CLG"/>
      </w:pPr>
      <w:r>
        <w:t>IV - que apresente sócio ou acionista controlador, em participação direta ou indireta, que seja cônjuge, companheiro ou parente consanguíneo ou afim, em linha reta ou colateral, até o terceiro grau, de sócio ou acionista controlador de pessoa jurídica que industrializa ou importa os produtos de que trata o art. 1º;</w:t>
      </w:r>
    </w:p>
    <w:p w:rsidR="003F7A8A" w:rsidRDefault="003F7A8A" w:rsidP="003F7A8A">
      <w:pPr>
        <w:pStyle w:val="05-Pargrafodetexto-CLG"/>
      </w:pPr>
      <w:r>
        <w:t>V - que tenha participação no capital social de pessoa jurídica que industrializa ou importa os produtos de que trata o art. 1º, exceto nos casos de participação inferior a um por cento em pessoa jurídica com registro de companhia aberta junto à Comissão de Valores Mobiliários;</w:t>
      </w:r>
    </w:p>
    <w:p w:rsidR="003F7A8A" w:rsidRDefault="003F7A8A" w:rsidP="003F7A8A">
      <w:pPr>
        <w:pStyle w:val="05-Pargrafodetexto-CLG"/>
      </w:pPr>
      <w:r>
        <w:t>VI - que possuir, em comum com pessoa jurídica que industrializa ou importa os produtos de que trata o art. 1º, diretor ou sócio que exerçam funções de gerência, ainda que essas funções sejam exercidas sob outra denominação; ou</w:t>
      </w:r>
    </w:p>
    <w:p w:rsidR="003F7A8A" w:rsidRDefault="003F7A8A" w:rsidP="003F7A8A">
      <w:pPr>
        <w:pStyle w:val="05-Pargrafodetexto-CLG"/>
      </w:pPr>
      <w:r>
        <w:t>VII - que tiver adquirido ou recebido em consignação, no ano anterior, mais de vinte por cento do volume de saída da pessoa jurídica que industrializa ou importa os produtos de que trata o art. 1º.</w:t>
      </w:r>
    </w:p>
    <w:p w:rsidR="003F7A8A" w:rsidRDefault="003F7A8A" w:rsidP="003F7A8A">
      <w:pPr>
        <w:pStyle w:val="05-Pargrafodetexto-CLG"/>
      </w:pPr>
      <w:r w:rsidRPr="003F7A8A">
        <w:rPr>
          <w:b/>
        </w:rPr>
        <w:t xml:space="preserve">Art. </w:t>
      </w:r>
      <w:r w:rsidR="003B6DCD">
        <w:rPr>
          <w:b/>
        </w:rPr>
        <w:t>5</w:t>
      </w:r>
      <w:r w:rsidRPr="003F7A8A">
        <w:rPr>
          <w:b/>
        </w:rPr>
        <w:t>º</w:t>
      </w:r>
      <w:r>
        <w:t xml:space="preserve"> Sujeita-se ao pagamento do IPI, na condição de responsável, o estabelecimento comercial atacadista que possuir ou mantiver produtos de que trata o art. 1º desacompanhados da documentação comprobatória de sua procedência ou que a eles der saída.</w:t>
      </w:r>
    </w:p>
    <w:p w:rsidR="003F7A8A" w:rsidRDefault="003F7A8A" w:rsidP="003F7A8A">
      <w:pPr>
        <w:pStyle w:val="05-Pargrafodetexto-CLG"/>
      </w:pPr>
      <w:r w:rsidRPr="003F7A8A">
        <w:rPr>
          <w:b/>
        </w:rPr>
        <w:t xml:space="preserve">Art. </w:t>
      </w:r>
      <w:r w:rsidR="003B6DCD">
        <w:rPr>
          <w:b/>
        </w:rPr>
        <w:t>6</w:t>
      </w:r>
      <w:r w:rsidRPr="003F7A8A">
        <w:rPr>
          <w:b/>
        </w:rPr>
        <w:t>º</w:t>
      </w:r>
      <w:r>
        <w:t xml:space="preserve"> Sem prejuízo do disposto no art. 48 da Lei nº 4.502, de 30 de novembro de 1964, as notas fiscais de comercialização dos produtos de que trata o art. 1º emitidas pelo estabelecimento industrial ou equiparado deverão conter a descrição da marca comercial, tipo de embalagem e volume dos produtos, para perfeita identificação destes e cálculo do imposto devido.</w:t>
      </w:r>
    </w:p>
    <w:p w:rsidR="003F7A8A" w:rsidRDefault="003F7A8A" w:rsidP="003F7A8A">
      <w:pPr>
        <w:pStyle w:val="05-Pargrafodetexto-CLG"/>
      </w:pPr>
      <w:r w:rsidRPr="003F7A8A">
        <w:rPr>
          <w:i/>
        </w:rPr>
        <w:t>Parágrafo único</w:t>
      </w:r>
      <w:r>
        <w:t xml:space="preserve">.  A inobservância do disposto no </w:t>
      </w:r>
      <w:r w:rsidRPr="003F7A8A">
        <w:rPr>
          <w:i/>
        </w:rPr>
        <w:t>caput</w:t>
      </w:r>
      <w:r>
        <w:t xml:space="preserve"> implicará considerar as notas fiscais enquadradas no art. 53 da Lei nº 4.502, de 1964.</w:t>
      </w:r>
    </w:p>
    <w:p w:rsidR="003F7A8A" w:rsidRDefault="003F7A8A" w:rsidP="003F7A8A">
      <w:pPr>
        <w:pStyle w:val="05-Pargrafodetexto-CLG"/>
      </w:pPr>
      <w:r w:rsidRPr="003F7A8A">
        <w:rPr>
          <w:b/>
        </w:rPr>
        <w:t xml:space="preserve">Art. </w:t>
      </w:r>
      <w:r w:rsidR="003B6DCD">
        <w:rPr>
          <w:b/>
        </w:rPr>
        <w:t>7</w:t>
      </w:r>
      <w:r w:rsidRPr="003F7A8A">
        <w:rPr>
          <w:b/>
        </w:rPr>
        <w:t>º</w:t>
      </w:r>
      <w:r>
        <w:t xml:space="preserve"> Relativamente aos produtos de que trata o art. 1º, o Poder Executivo federal poderá estabelecer valores mínimos do IPI em função da classificação fiscal na TIPI, do tipo de produto e da capacidade do recipiente.</w:t>
      </w:r>
    </w:p>
    <w:p w:rsidR="003B6DCD" w:rsidRDefault="003B6DCD" w:rsidP="003B6DCD">
      <w:pPr>
        <w:pStyle w:val="05-Pargrafodetexto-CLG"/>
      </w:pPr>
      <w:r w:rsidRPr="003B6DCD">
        <w:rPr>
          <w:i/>
        </w:rPr>
        <w:t>Parágrafo único</w:t>
      </w:r>
      <w:r>
        <w:rPr>
          <w:b/>
        </w:rPr>
        <w:t xml:space="preserve">. </w:t>
      </w:r>
      <w:r>
        <w:t>As alíquotas máximas do IPI para os produtos abaixo arrolados são as seguintes:</w:t>
      </w:r>
    </w:p>
    <w:p w:rsidR="003B6DCD" w:rsidRDefault="00C31D5F" w:rsidP="003B6DCD">
      <w:pPr>
        <w:pStyle w:val="05-Pargrafodetexto-CLG"/>
      </w:pPr>
      <w:r>
        <w:t xml:space="preserve">I – </w:t>
      </w:r>
      <w:r w:rsidR="0047426F">
        <w:t>6</w:t>
      </w:r>
      <w:r w:rsidR="003B6DCD">
        <w:t>% (</w:t>
      </w:r>
      <w:r w:rsidR="0047426F">
        <w:t>seis por cento</w:t>
      </w:r>
      <w:r w:rsidR="003B6DCD">
        <w:t>) para os produtos classificados na posição 22.04 da TIPI</w:t>
      </w:r>
      <w:r w:rsidR="0047426F">
        <w:t xml:space="preserve"> para os fatos geradores ocorridos durante o ano de 2016</w:t>
      </w:r>
      <w:r w:rsidR="003B6DCD">
        <w:t>;</w:t>
      </w:r>
    </w:p>
    <w:p w:rsidR="0047426F" w:rsidRDefault="0047426F" w:rsidP="003B6DCD">
      <w:pPr>
        <w:pStyle w:val="05-Pargrafodetexto-CLG"/>
      </w:pPr>
      <w:r>
        <w:t>II – 5% (cinco por cento) para os produtos classificados na posição 22.04 da TIPI para os fatos geradores ocorridos a partir de 1º de janeiro de 2017;</w:t>
      </w:r>
    </w:p>
    <w:p w:rsidR="008368B2" w:rsidRDefault="0047426F" w:rsidP="008368B2">
      <w:pPr>
        <w:pStyle w:val="05-Pargrafodetexto-CLG"/>
        <w:rPr>
          <w:szCs w:val="22"/>
        </w:rPr>
      </w:pPr>
      <w:r>
        <w:t>I</w:t>
      </w:r>
      <w:r w:rsidR="008368B2">
        <w:t xml:space="preserve">II – 17% (dezessete por cento) </w:t>
      </w:r>
      <w:r>
        <w:t>para os produtos classificados na posição</w:t>
      </w:r>
      <w:r w:rsidR="008368B2">
        <w:t xml:space="preserve"> 2208.40.00 da TIPI, exceto para o rum e para as outras aguardentes provenientes do melaço de cana</w:t>
      </w:r>
      <w:r>
        <w:t>, para os fatos geradores ocorridos a partir de 1º de janeiro de 2016</w:t>
      </w:r>
      <w:r w:rsidR="008368B2">
        <w:t>.</w:t>
      </w:r>
    </w:p>
    <w:p w:rsidR="003F7A8A" w:rsidRDefault="003B766A" w:rsidP="003F7A8A">
      <w:pPr>
        <w:pStyle w:val="05-Pargrafodetexto-CLG"/>
      </w:pPr>
      <w:r>
        <w:rPr>
          <w:b/>
        </w:rPr>
        <w:t xml:space="preserve">Art. </w:t>
      </w:r>
      <w:r w:rsidR="00022BBC">
        <w:rPr>
          <w:b/>
        </w:rPr>
        <w:t>8</w:t>
      </w:r>
      <w:r w:rsidR="003F7A8A" w:rsidRPr="003F7A8A">
        <w:rPr>
          <w:b/>
        </w:rPr>
        <w:t>º</w:t>
      </w:r>
      <w:r w:rsidR="003F7A8A">
        <w:t xml:space="preserve"> A Lei nº 9.430, de 27 de dezembro de 1996, passa a vigorar com as seguintes alterações:</w:t>
      </w:r>
    </w:p>
    <w:p w:rsidR="003F7A8A" w:rsidRDefault="003F7A8A" w:rsidP="009C4117">
      <w:pPr>
        <w:pStyle w:val="07-Citaolegal-CLG"/>
      </w:pPr>
      <w:r>
        <w:t>“</w:t>
      </w:r>
      <w:r w:rsidRPr="009C4117">
        <w:rPr>
          <w:b/>
        </w:rPr>
        <w:t>Art. 25.</w:t>
      </w:r>
      <w:r>
        <w:t xml:space="preserve">  ......................................................................</w:t>
      </w:r>
    </w:p>
    <w:p w:rsidR="003F7A8A" w:rsidRDefault="003F7A8A" w:rsidP="009C4117">
      <w:pPr>
        <w:pStyle w:val="07-Citaolegal-CLG"/>
      </w:pPr>
      <w:r>
        <w:t>......................................................................................</w:t>
      </w:r>
    </w:p>
    <w:p w:rsidR="003F7A8A" w:rsidRDefault="003F7A8A" w:rsidP="009C4117">
      <w:pPr>
        <w:pStyle w:val="07-Citaolegal-CLG"/>
      </w:pPr>
      <w:r>
        <w:t>§ 6º As receitas decorrentes da cessão de direitos patrimoniais de autor ou de imagem, nome, marca ou voz de que seja detentor o titular ou o sócio da pessoa jurídica devem ser adicionadas à base de cálculo sem a aplicação dos percentuais de que trata o art. 15 da Lei nº 9.249, de 1995.” (NR)</w:t>
      </w:r>
    </w:p>
    <w:p w:rsidR="001861DB" w:rsidRDefault="001861DB" w:rsidP="009C4117">
      <w:pPr>
        <w:pStyle w:val="07-Citaolegal-CLG"/>
      </w:pPr>
    </w:p>
    <w:p w:rsidR="003F7A8A" w:rsidRDefault="003F7A8A" w:rsidP="009C4117">
      <w:pPr>
        <w:pStyle w:val="07-Citaolegal-CLG"/>
      </w:pPr>
      <w:r>
        <w:t>“</w:t>
      </w:r>
      <w:r w:rsidRPr="009C4117">
        <w:rPr>
          <w:b/>
        </w:rPr>
        <w:t>Art. 27.</w:t>
      </w:r>
      <w:r>
        <w:t xml:space="preserve">  .....................................................................</w:t>
      </w:r>
    </w:p>
    <w:p w:rsidR="003F7A8A" w:rsidRDefault="003F7A8A" w:rsidP="009C4117">
      <w:pPr>
        <w:pStyle w:val="07-Citaolegal-CLG"/>
      </w:pPr>
      <w:r>
        <w:t>......................................................................................</w:t>
      </w:r>
    </w:p>
    <w:p w:rsidR="003F7A8A" w:rsidRDefault="003F7A8A" w:rsidP="009C4117">
      <w:pPr>
        <w:pStyle w:val="07-Citaolegal-CLG"/>
      </w:pPr>
      <w:r>
        <w:t>§ 8º As receitas decorrentes da cessão de direitos patrimoniais de autor ou de imagem, nome, marca ou voz de que seja detentor o titular ou o sócio da pessoa jurídica devem ser adicionadas à base de cálculo sem a aplicação dos percentuais de que trata o art. 16 da Lei nº 9.249, de 1995.” (NR)</w:t>
      </w:r>
    </w:p>
    <w:p w:rsidR="001861DB" w:rsidRDefault="001861DB" w:rsidP="009C4117">
      <w:pPr>
        <w:pStyle w:val="07-Citaolegal-CLG"/>
      </w:pPr>
    </w:p>
    <w:p w:rsidR="003F7A8A" w:rsidRDefault="003F7A8A" w:rsidP="009C4117">
      <w:pPr>
        <w:pStyle w:val="07-Citaolegal-CLG"/>
      </w:pPr>
      <w:r>
        <w:t>“</w:t>
      </w:r>
      <w:r w:rsidRPr="00610F16">
        <w:rPr>
          <w:b/>
        </w:rPr>
        <w:t>Art. 29.</w:t>
      </w:r>
      <w:r w:rsidRPr="00BE77F6">
        <w:t xml:space="preserve"> </w:t>
      </w:r>
      <w:r>
        <w:t xml:space="preserve"> .....................................................................</w:t>
      </w:r>
    </w:p>
    <w:p w:rsidR="003F7A8A" w:rsidRDefault="003F7A8A" w:rsidP="009C4117">
      <w:pPr>
        <w:pStyle w:val="07-Citaolegal-CLG"/>
      </w:pPr>
      <w:r>
        <w:t>......................................................................................</w:t>
      </w:r>
    </w:p>
    <w:p w:rsidR="003F7A8A" w:rsidRDefault="003F7A8A" w:rsidP="009C4117">
      <w:pPr>
        <w:pStyle w:val="07-Citaolegal-CLG"/>
      </w:pPr>
      <w:r w:rsidRPr="00BE77F6">
        <w:t>Parágrafo único</w:t>
      </w:r>
      <w:r>
        <w:t>.  As receitas decorrentes da cessão de direitos patrimoniais de autor ou de imagem, nome, marca ou voz de que seja detentor o titular ou o sócio da pessoa jurídica devem ser adicionadas à base de cálculo sem a aplicação dos percentuais de que trata o art. 20 da Lei nº 9.249, de 1995.” (NR)</w:t>
      </w:r>
    </w:p>
    <w:p w:rsidR="001861DB" w:rsidRDefault="001861DB" w:rsidP="009C4117">
      <w:pPr>
        <w:pStyle w:val="07-Citaolegal-CLG"/>
      </w:pPr>
    </w:p>
    <w:p w:rsidR="00BE77F6" w:rsidRDefault="003F7A8A" w:rsidP="003F7A8A">
      <w:pPr>
        <w:pStyle w:val="05-Pargrafodetexto-CLG"/>
      </w:pPr>
      <w:r w:rsidRPr="003F7A8A">
        <w:rPr>
          <w:b/>
        </w:rPr>
        <w:t xml:space="preserve">Art. </w:t>
      </w:r>
      <w:r w:rsidR="00022BBC">
        <w:rPr>
          <w:b/>
        </w:rPr>
        <w:t>9º</w:t>
      </w:r>
      <w:r>
        <w:t xml:space="preserve"> </w:t>
      </w:r>
      <w:r w:rsidR="00BE77F6">
        <w:t>A Lei nº 11.196, de 21 de novembro de 2005, passa a vigorar com a</w:t>
      </w:r>
      <w:r w:rsidR="00610F16">
        <w:t>s</w:t>
      </w:r>
      <w:r w:rsidR="00BE77F6">
        <w:t xml:space="preserve"> seguinte</w:t>
      </w:r>
      <w:r w:rsidR="00610F16">
        <w:t>s alterações</w:t>
      </w:r>
      <w:r w:rsidR="00BE77F6">
        <w:t>:</w:t>
      </w:r>
    </w:p>
    <w:p w:rsidR="00BE77F6" w:rsidRDefault="00BE77F6" w:rsidP="00BE77F6">
      <w:pPr>
        <w:pStyle w:val="07-Citaolegal-CLG"/>
      </w:pPr>
      <w:r>
        <w:t>“</w:t>
      </w:r>
      <w:r w:rsidRPr="00610F16">
        <w:rPr>
          <w:b/>
        </w:rPr>
        <w:t>Art. 28.</w:t>
      </w:r>
      <w:r>
        <w:t xml:space="preserve">  </w:t>
      </w:r>
      <w:r w:rsidR="0047426F">
        <w:t>......</w:t>
      </w:r>
      <w:r>
        <w:t>.......................................................................</w:t>
      </w:r>
    </w:p>
    <w:p w:rsidR="00BE77F6" w:rsidRDefault="0047426F" w:rsidP="00782352">
      <w:pPr>
        <w:pStyle w:val="08-Citaolegal-ltimalinha-CLG"/>
      </w:pPr>
      <w:r>
        <w:t>I – de unidades de processamento digital classificados no código 8471.50.10 da Tabela de Incidência do Imposto sobre Produtos Industrializado – TIPI;</w:t>
      </w:r>
    </w:p>
    <w:p w:rsidR="0047426F" w:rsidRDefault="0047426F" w:rsidP="00782352">
      <w:pPr>
        <w:pStyle w:val="08-Citaolegal-ltimalinha-CLG"/>
      </w:pPr>
      <w:r>
        <w:t>II – de máquinas automáticas para processamento de dados, digitais, portáteis, de peso inferior a 3,5kg (três quilos e meio), com tela (écran) de área superior a 140cm² (cento e quarenta centímetros quadrados), classificadas nos códigos 8471.30.12, 8471.30.19 ou 8471.30.90 da TIPI;</w:t>
      </w:r>
    </w:p>
    <w:p w:rsidR="0047426F" w:rsidRDefault="0047426F" w:rsidP="00782352">
      <w:pPr>
        <w:pStyle w:val="08-Citaolegal-ltimalinha-CLG"/>
      </w:pPr>
      <w:r>
        <w:t>III – de máquinas automáticas para processamento de dados, apresentadas sob a forma de sistemas, do código 8471.49 da TIPI, contendo exclusivamente 1 (uma) unidade de processamento digital, 1 (uma) unidade de saída de vídeo (monitor), 1 (um) teclado (unidade de entrada), 1 (um) mouse (unidade de entrada), classificados, respectivamente, nos códigos 8471.50.10, 8471.60.7, 8471.60.52 e 8471.60.53 da TIPI;</w:t>
      </w:r>
    </w:p>
    <w:p w:rsidR="0047426F" w:rsidRDefault="0047426F" w:rsidP="00782352">
      <w:pPr>
        <w:pStyle w:val="08-Citaolegal-ltimalinha-CLG"/>
      </w:pPr>
      <w:r>
        <w:t>IV – de teclado (unidade de entrada) e de mouse (unidade de entrada) classificados, respectivamente, nos códigos 8471.60.52 e 8471.</w:t>
      </w:r>
      <w:r w:rsidR="0008624F">
        <w:t>60.53 da TIPI, quando acompanharem a unidade de processamento digital classificada no código 8471.50.10 da TIPI;</w:t>
      </w:r>
    </w:p>
    <w:p w:rsidR="0008624F" w:rsidRDefault="0008624F" w:rsidP="00782352">
      <w:pPr>
        <w:pStyle w:val="08-Citaolegal-ltimalinha-CLG"/>
      </w:pPr>
      <w:r>
        <w:t>V – modems, classificados nas posições 8517.62.55, 8517.62.62 ou 8517.62.72 da TIPI;</w:t>
      </w:r>
    </w:p>
    <w:p w:rsidR="0008624F" w:rsidRDefault="0008624F" w:rsidP="00782352">
      <w:pPr>
        <w:pStyle w:val="08-Citaolegal-ltimalinha-CLG"/>
      </w:pPr>
      <w:r>
        <w:t>VI – máquinas automáticas de processamento de dados, portáteis, sem teclado, que tenham uma unidade central de processamento com entrada e saída de dados por meio de uma tela sensível ao toque de área superior a 140 cm² (cento e quarenta centímetros quadrados) e inferior a 600 m² (seiscentos centímetros quadrados) e que não possuem função de comando remoto (tablet PC) classificadas na subposição 8471.41 da TIPI;</w:t>
      </w:r>
    </w:p>
    <w:p w:rsidR="0008624F" w:rsidRDefault="0008624F" w:rsidP="00782352">
      <w:pPr>
        <w:pStyle w:val="08-Citaolegal-ltimalinha-CLG"/>
      </w:pPr>
      <w:r>
        <w:t>VII – telefones portáteis de redes celulares que possibilitem o acesso à internet em alta velocidade do tipo smartphone classificados na posição 8517.12.31 da TIPI;</w:t>
      </w:r>
    </w:p>
    <w:p w:rsidR="0008624F" w:rsidRDefault="0008624F" w:rsidP="00782352">
      <w:pPr>
        <w:pStyle w:val="08-Citaolegal-ltimalinha-CLG"/>
      </w:pPr>
      <w:r>
        <w:t>VIII – equipamentos terminais de clientes (roteadores digitais) classificados nas posições 8517.62.41 e 8517.62.77 da TIPI</w:t>
      </w:r>
    </w:p>
    <w:p w:rsidR="0008624F" w:rsidRDefault="0008624F" w:rsidP="00782352">
      <w:pPr>
        <w:pStyle w:val="08-Citaolegal-ltimalinha-CLG"/>
      </w:pPr>
      <w:r>
        <w:t>§ 1º - os produtos de que trata este artigo atenderão aos termos e condições estabelecidos em regulamento, inclusive quanto ao valor e especificações técnicas</w:t>
      </w:r>
    </w:p>
    <w:p w:rsidR="0008624F" w:rsidRDefault="0008624F" w:rsidP="00782352">
      <w:pPr>
        <w:pStyle w:val="08-Citaolegal-ltimalinha-CLG"/>
      </w:pPr>
      <w:r>
        <w:t>...................................................................................................</w:t>
      </w:r>
    </w:p>
    <w:p w:rsidR="0008624F" w:rsidRDefault="0008624F" w:rsidP="00782352">
      <w:pPr>
        <w:pStyle w:val="08-Citaolegal-ltimalinha-CLG"/>
      </w:pPr>
      <w:r>
        <w:rPr>
          <w:b/>
        </w:rPr>
        <w:t xml:space="preserve">Art. 29. </w:t>
      </w:r>
      <w:r>
        <w:t>.....................................................................................</w:t>
      </w:r>
    </w:p>
    <w:p w:rsidR="0008624F" w:rsidRDefault="0008624F" w:rsidP="00782352">
      <w:pPr>
        <w:pStyle w:val="08-Citaolegal-ltimalinha-CLG"/>
      </w:pPr>
      <w:r>
        <w:rPr>
          <w:b/>
        </w:rPr>
        <w:t>Art. 30.</w:t>
      </w:r>
      <w:r>
        <w:t xml:space="preserve"> As alíquotas da Confins e da Contribuição para o PIS/Pasep, em relação aos produtos previstos no art. 28 desta Lei, serão aplicadas da seguinte maneira:</w:t>
      </w:r>
    </w:p>
    <w:p w:rsidR="003B766A" w:rsidRDefault="003B766A" w:rsidP="00BE77F6">
      <w:pPr>
        <w:pStyle w:val="07-Citaolegal-CLG"/>
      </w:pPr>
      <w:r>
        <w:t xml:space="preserve">I – </w:t>
      </w:r>
      <w:r w:rsidR="00BE77F6">
        <w:t>integralmente</w:t>
      </w:r>
      <w:r>
        <w:t>,</w:t>
      </w:r>
      <w:r w:rsidR="00BE77F6">
        <w:t xml:space="preserve"> para os fatos geradores ocorridos</w:t>
      </w:r>
      <w:r w:rsidR="00012E73">
        <w:t xml:space="preserve"> até 31 de dezembro</w:t>
      </w:r>
      <w:r>
        <w:t xml:space="preserve"> de 2016;</w:t>
      </w:r>
    </w:p>
    <w:p w:rsidR="003B766A" w:rsidRDefault="003B766A" w:rsidP="00BE77F6">
      <w:pPr>
        <w:pStyle w:val="07-Citaolegal-CLG"/>
      </w:pPr>
      <w:r>
        <w:t xml:space="preserve">II – </w:t>
      </w:r>
      <w:r w:rsidR="00BE77F6">
        <w:t xml:space="preserve">reduzidas em </w:t>
      </w:r>
      <w:r w:rsidR="0008624F">
        <w:t>50%</w:t>
      </w:r>
      <w:r w:rsidR="00BE77F6">
        <w:t xml:space="preserve"> (</w:t>
      </w:r>
      <w:r w:rsidR="0008624F">
        <w:t>cinquenta</w:t>
      </w:r>
      <w:r w:rsidR="00BE77F6">
        <w:t xml:space="preserve"> por cento), para os fatos geradores ocorridos </w:t>
      </w:r>
      <w:r w:rsidR="0008624F">
        <w:t xml:space="preserve">até 31 de dezembro de </w:t>
      </w:r>
      <w:r w:rsidR="00BE77F6">
        <w:t>2017</w:t>
      </w:r>
      <w:r>
        <w:t>;</w:t>
      </w:r>
    </w:p>
    <w:p w:rsidR="00BE77F6" w:rsidRDefault="0051265D" w:rsidP="00BE77F6">
      <w:pPr>
        <w:pStyle w:val="07-Citaolegal-CLG"/>
      </w:pPr>
      <w:r>
        <w:t>I</w:t>
      </w:r>
      <w:r w:rsidR="00BE77F6">
        <w:t xml:space="preserve">II – reduzidas em 50% (cinquenta por cento), para os fatos geradores ocorridos </w:t>
      </w:r>
      <w:r w:rsidR="0008624F">
        <w:t>até 31 de dezembro de 2018;</w:t>
      </w:r>
    </w:p>
    <w:p w:rsidR="00BE77F6" w:rsidRDefault="0051265D" w:rsidP="005F5BF4">
      <w:pPr>
        <w:pStyle w:val="08-Citaolegal-ltimalinha-CLG"/>
      </w:pPr>
      <w:r>
        <w:t>IV</w:t>
      </w:r>
      <w:r w:rsidR="00BE77F6">
        <w:t xml:space="preserve"> – reduzidas em </w:t>
      </w:r>
      <w:r w:rsidR="0008624F">
        <w:t>100</w:t>
      </w:r>
      <w:r w:rsidR="00BE77F6">
        <w:t>% (</w:t>
      </w:r>
      <w:r w:rsidR="0008624F">
        <w:t>cem por cento),</w:t>
      </w:r>
      <w:r w:rsidR="00BE77F6">
        <w:t xml:space="preserve"> para os fatos geradores ocorridos </w:t>
      </w:r>
      <w:r w:rsidR="0008624F">
        <w:t xml:space="preserve">até 31 de dezembro de </w:t>
      </w:r>
      <w:r w:rsidR="00BE77F6">
        <w:t>2019.”</w:t>
      </w:r>
    </w:p>
    <w:p w:rsidR="0051265D" w:rsidRDefault="0051265D" w:rsidP="005F5BF4">
      <w:pPr>
        <w:pStyle w:val="08-Citaolegal-ltimalinha-CLG"/>
      </w:pPr>
      <w:r>
        <w:t>Parágrafo único: As alíquotas de que tratam este artigo não se aplicam às vendas efetuadas por empresas optantes pelo Simples.</w:t>
      </w:r>
      <w:r w:rsidR="00012E73">
        <w:t>” (NR)</w:t>
      </w:r>
    </w:p>
    <w:p w:rsidR="00BE77F6" w:rsidRDefault="003B766A" w:rsidP="003F7A8A">
      <w:pPr>
        <w:pStyle w:val="05-Pargrafodetexto-CLG"/>
      </w:pPr>
      <w:r>
        <w:rPr>
          <w:b/>
        </w:rPr>
        <w:t>Art. 1</w:t>
      </w:r>
      <w:r w:rsidR="00022BBC">
        <w:rPr>
          <w:b/>
        </w:rPr>
        <w:t>0</w:t>
      </w:r>
      <w:r w:rsidR="003F7A8A">
        <w:t xml:space="preserve">. </w:t>
      </w:r>
      <w:r w:rsidR="00BE77F6">
        <w:t xml:space="preserve">Revoga-se o inciso II do art. 30 da Lei nº 11.196, de </w:t>
      </w:r>
      <w:r w:rsidR="00277899">
        <w:t xml:space="preserve">21 </w:t>
      </w:r>
      <w:r w:rsidR="00BE77F6">
        <w:t xml:space="preserve">de novembro de 2005. </w:t>
      </w:r>
    </w:p>
    <w:p w:rsidR="0051265D" w:rsidRPr="0051265D" w:rsidRDefault="0051265D" w:rsidP="003F7A8A">
      <w:pPr>
        <w:pStyle w:val="05-Pargrafodetexto-CLG"/>
      </w:pPr>
      <w:r>
        <w:rPr>
          <w:b/>
        </w:rPr>
        <w:t>Art. 11.</w:t>
      </w:r>
      <w:r>
        <w:t xml:space="preserve"> Caso o poder Executivo tenha determinado atualização monetária em montante superior ao previsto nos arts. 1º a 7º e art. 9º, poderá o contribuinte requerer a restituição do valor pago em excesso.</w:t>
      </w:r>
    </w:p>
    <w:p w:rsidR="00574B39" w:rsidRDefault="00012E73" w:rsidP="00574B39">
      <w:pPr>
        <w:pStyle w:val="05-Pargrafodetexto-CLG"/>
      </w:pPr>
      <w:bookmarkStart w:id="2" w:name="art29"/>
      <w:bookmarkEnd w:id="2"/>
      <w:r>
        <w:rPr>
          <w:b/>
        </w:rPr>
        <w:t>Art. 12</w:t>
      </w:r>
      <w:r w:rsidR="00574B39" w:rsidRPr="00BE77F6">
        <w:rPr>
          <w:b/>
        </w:rPr>
        <w:t>.</w:t>
      </w:r>
      <w:r w:rsidR="00574B39">
        <w:t xml:space="preserve"> Esta Lei entra em vigor na data de sua publicação, produzindo efeitos a partir:</w:t>
      </w:r>
    </w:p>
    <w:p w:rsidR="00E92241" w:rsidRDefault="00574B39" w:rsidP="00574B39">
      <w:pPr>
        <w:pStyle w:val="05-Pargrafodetexto-CLG"/>
      </w:pPr>
      <w:r>
        <w:t xml:space="preserve">I – </w:t>
      </w:r>
      <w:r w:rsidR="00E92241">
        <w:t>do primeiro dia do quinto mês subsequente ao da publicação da Medida Provisória nº. 690, de 31 de agosto de 2015, quanto ao disposto nos art. 1º ao 7º e arts. 9º e 10;</w:t>
      </w:r>
    </w:p>
    <w:p w:rsidR="00E92241" w:rsidRDefault="00E92241" w:rsidP="00574B39">
      <w:pPr>
        <w:pStyle w:val="05-Pargrafodetexto-CLG"/>
      </w:pPr>
      <w:r>
        <w:t>II – de 1º de janeiro de 2016, quanto ao disposto no art. 8º.</w:t>
      </w:r>
    </w:p>
    <w:p w:rsidR="00A85ECB" w:rsidRDefault="00C218D0" w:rsidP="00A85ECB">
      <w:pPr>
        <w:pStyle w:val="10-Local-CLG"/>
      </w:pPr>
      <w:r>
        <w:t>Sala da Comissão,</w:t>
      </w:r>
    </w:p>
    <w:p w:rsidR="00A85ECB" w:rsidRPr="00724990" w:rsidRDefault="00A85ECB" w:rsidP="00A85ECB">
      <w:pPr>
        <w:pStyle w:val="11-Assinaturas-CLG"/>
      </w:pPr>
      <w:r>
        <w:t>, Presidente</w:t>
      </w:r>
    </w:p>
    <w:p w:rsidR="009F03FE" w:rsidRDefault="00A85ECB" w:rsidP="00A85ECB">
      <w:pPr>
        <w:pStyle w:val="11-Assinaturas-CLG"/>
      </w:pPr>
      <w:r>
        <w:t>, Relator</w:t>
      </w:r>
    </w:p>
    <w:p w:rsidR="009F03FE" w:rsidRDefault="009F03FE" w:rsidP="00A85ECB">
      <w:pPr>
        <w:pStyle w:val="11-Assinaturas-CLG"/>
      </w:pPr>
    </w:p>
    <w:p w:rsidR="009F03FE" w:rsidRDefault="009F03FE" w:rsidP="00A85ECB">
      <w:pPr>
        <w:pStyle w:val="11-Assinaturas-CLG"/>
      </w:pPr>
    </w:p>
    <w:p w:rsidR="009F03FE" w:rsidRDefault="009F03FE" w:rsidP="00A85ECB">
      <w:pPr>
        <w:pStyle w:val="11-Assinaturas-CLG"/>
      </w:pPr>
    </w:p>
    <w:sectPr w:rsidR="009F03FE" w:rsidSect="0083136A">
      <w:headerReference w:type="even" r:id="rId8"/>
      <w:headerReference w:type="default" r:id="rId9"/>
      <w:footerReference w:type="first" r:id="rId10"/>
      <w:pgSz w:w="11906" w:h="16838"/>
      <w:pgMar w:top="2410" w:right="1701" w:bottom="212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AD" w:rsidRDefault="00F975AD" w:rsidP="00A85ECB">
      <w:r>
        <w:separator/>
      </w:r>
    </w:p>
  </w:endnote>
  <w:endnote w:type="continuationSeparator" w:id="0">
    <w:p w:rsidR="00F975AD" w:rsidRDefault="00F975AD" w:rsidP="00A8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04" w:rsidRPr="00342E7D" w:rsidRDefault="00385A9D">
    <w:pPr>
      <w:pStyle w:val="Rodap"/>
      <w:rPr>
        <w:i/>
        <w:sz w:val="18"/>
        <w:szCs w:val="18"/>
      </w:rPr>
    </w:pPr>
    <w:r w:rsidRPr="00342E7D">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AD" w:rsidRDefault="00F975AD" w:rsidP="00A85ECB">
      <w:r>
        <w:separator/>
      </w:r>
    </w:p>
  </w:footnote>
  <w:footnote w:type="continuationSeparator" w:id="0">
    <w:p w:rsidR="00F975AD" w:rsidRDefault="00F975AD" w:rsidP="00A8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04" w:rsidRDefault="00AA5C40" w:rsidP="00A85ECB">
    <w:pPr>
      <w:pStyle w:val="Cabealho"/>
      <w:framePr w:wrap="around" w:vAnchor="text" w:hAnchor="margin" w:xAlign="right" w:y="1"/>
      <w:rPr>
        <w:rStyle w:val="Nmerodepgina"/>
      </w:rPr>
    </w:pPr>
    <w:r>
      <w:rPr>
        <w:rStyle w:val="Nmerodepgina"/>
      </w:rPr>
      <w:fldChar w:fldCharType="begin"/>
    </w:r>
    <w:r w:rsidR="0003485E">
      <w:rPr>
        <w:rStyle w:val="Nmerodepgina"/>
      </w:rPr>
      <w:instrText xml:space="preserve">PAGE  </w:instrText>
    </w:r>
    <w:r>
      <w:rPr>
        <w:rStyle w:val="Nmerodepgina"/>
      </w:rPr>
      <w:fldChar w:fldCharType="end"/>
    </w:r>
  </w:p>
  <w:p w:rsidR="00791A04" w:rsidRDefault="00791A04">
    <w:pPr>
      <w:pStyle w:val="Cabealho"/>
      <w:ind w:right="360"/>
    </w:pPr>
  </w:p>
  <w:p w:rsidR="00791A04" w:rsidRDefault="00791A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04" w:rsidRDefault="00AA5C40" w:rsidP="00A85ECB">
    <w:pPr>
      <w:pStyle w:val="Cabealho"/>
      <w:framePr w:wrap="around" w:vAnchor="text" w:hAnchor="margin" w:xAlign="right" w:y="1"/>
      <w:rPr>
        <w:rStyle w:val="Nmerodepgina"/>
      </w:rPr>
    </w:pPr>
    <w:r>
      <w:rPr>
        <w:rStyle w:val="Nmerodepgina"/>
      </w:rPr>
      <w:fldChar w:fldCharType="begin"/>
    </w:r>
    <w:r w:rsidR="0003485E">
      <w:rPr>
        <w:rStyle w:val="Nmerodepgina"/>
      </w:rPr>
      <w:instrText xml:space="preserve">PAGE  </w:instrText>
    </w:r>
    <w:r>
      <w:rPr>
        <w:rStyle w:val="Nmerodepgina"/>
      </w:rPr>
      <w:fldChar w:fldCharType="separate"/>
    </w:r>
    <w:r w:rsidR="00E35766">
      <w:rPr>
        <w:rStyle w:val="Nmerodepgina"/>
        <w:noProof/>
      </w:rPr>
      <w:t>9</w:t>
    </w:r>
    <w:r>
      <w:rPr>
        <w:rStyle w:val="Nmerodepgina"/>
      </w:rPr>
      <w:fldChar w:fldCharType="end"/>
    </w:r>
  </w:p>
  <w:p w:rsidR="00791A04" w:rsidRDefault="00791A04">
    <w:pPr>
      <w:pStyle w:val="Cabealho"/>
      <w:ind w:right="360"/>
    </w:pPr>
  </w:p>
  <w:p w:rsidR="00791A04" w:rsidRDefault="00791A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4DD2"/>
    <w:multiLevelType w:val="hybridMultilevel"/>
    <w:tmpl w:val="74C2CE6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15:restartNumberingAfterBreak="0">
    <w:nsid w:val="4FF121DA"/>
    <w:multiLevelType w:val="hybridMultilevel"/>
    <w:tmpl w:val="906883F6"/>
    <w:lvl w:ilvl="0" w:tplc="2F067A7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03CD9"/>
    <w:rsid w:val="00005D10"/>
    <w:rsid w:val="00012E73"/>
    <w:rsid w:val="00022BBC"/>
    <w:rsid w:val="0003485E"/>
    <w:rsid w:val="00042ED4"/>
    <w:rsid w:val="00052337"/>
    <w:rsid w:val="000547FF"/>
    <w:rsid w:val="00055CBB"/>
    <w:rsid w:val="0007300D"/>
    <w:rsid w:val="000837A8"/>
    <w:rsid w:val="0008624F"/>
    <w:rsid w:val="00090D8A"/>
    <w:rsid w:val="000B30CC"/>
    <w:rsid w:val="000B4C53"/>
    <w:rsid w:val="000C3FD0"/>
    <w:rsid w:val="000C73B5"/>
    <w:rsid w:val="000D74C4"/>
    <w:rsid w:val="000E1133"/>
    <w:rsid w:val="000E79F2"/>
    <w:rsid w:val="000F182D"/>
    <w:rsid w:val="001020CD"/>
    <w:rsid w:val="00112A91"/>
    <w:rsid w:val="00122A93"/>
    <w:rsid w:val="001234EB"/>
    <w:rsid w:val="00123527"/>
    <w:rsid w:val="00124357"/>
    <w:rsid w:val="001326E3"/>
    <w:rsid w:val="0014058C"/>
    <w:rsid w:val="0014124B"/>
    <w:rsid w:val="00145FF5"/>
    <w:rsid w:val="0016313E"/>
    <w:rsid w:val="00165387"/>
    <w:rsid w:val="00170527"/>
    <w:rsid w:val="001861DB"/>
    <w:rsid w:val="00192A8C"/>
    <w:rsid w:val="001936F8"/>
    <w:rsid w:val="0019646D"/>
    <w:rsid w:val="001B2B52"/>
    <w:rsid w:val="001C4ED2"/>
    <w:rsid w:val="001C6938"/>
    <w:rsid w:val="001C76CF"/>
    <w:rsid w:val="001E3C2A"/>
    <w:rsid w:val="001F7438"/>
    <w:rsid w:val="00201AB8"/>
    <w:rsid w:val="002029DB"/>
    <w:rsid w:val="002053AE"/>
    <w:rsid w:val="002220C0"/>
    <w:rsid w:val="002224E0"/>
    <w:rsid w:val="00236E10"/>
    <w:rsid w:val="002467B3"/>
    <w:rsid w:val="00257A75"/>
    <w:rsid w:val="00261BAA"/>
    <w:rsid w:val="00272B20"/>
    <w:rsid w:val="00277899"/>
    <w:rsid w:val="00277F83"/>
    <w:rsid w:val="00290AE5"/>
    <w:rsid w:val="002B7D00"/>
    <w:rsid w:val="002C471E"/>
    <w:rsid w:val="002C70C1"/>
    <w:rsid w:val="002F08FB"/>
    <w:rsid w:val="003025A7"/>
    <w:rsid w:val="003052F7"/>
    <w:rsid w:val="00305460"/>
    <w:rsid w:val="0031779C"/>
    <w:rsid w:val="00332BD0"/>
    <w:rsid w:val="00336212"/>
    <w:rsid w:val="0036317C"/>
    <w:rsid w:val="0036600B"/>
    <w:rsid w:val="003811AD"/>
    <w:rsid w:val="003822DC"/>
    <w:rsid w:val="00385A9D"/>
    <w:rsid w:val="003A61B2"/>
    <w:rsid w:val="003A67E5"/>
    <w:rsid w:val="003B46E1"/>
    <w:rsid w:val="003B6BA9"/>
    <w:rsid w:val="003B6DCD"/>
    <w:rsid w:val="003B766A"/>
    <w:rsid w:val="003C08A4"/>
    <w:rsid w:val="003C5949"/>
    <w:rsid w:val="003D0242"/>
    <w:rsid w:val="003D17CC"/>
    <w:rsid w:val="003D41F4"/>
    <w:rsid w:val="003D5EE2"/>
    <w:rsid w:val="003F695A"/>
    <w:rsid w:val="003F7A8A"/>
    <w:rsid w:val="00400D4E"/>
    <w:rsid w:val="004203F5"/>
    <w:rsid w:val="004245A1"/>
    <w:rsid w:val="004254A4"/>
    <w:rsid w:val="0043061B"/>
    <w:rsid w:val="00440D91"/>
    <w:rsid w:val="004446C4"/>
    <w:rsid w:val="00471D1A"/>
    <w:rsid w:val="0047426F"/>
    <w:rsid w:val="0048265E"/>
    <w:rsid w:val="004833F9"/>
    <w:rsid w:val="0048713A"/>
    <w:rsid w:val="00497242"/>
    <w:rsid w:val="004977CD"/>
    <w:rsid w:val="004A5698"/>
    <w:rsid w:val="004B0544"/>
    <w:rsid w:val="004C5A86"/>
    <w:rsid w:val="004D4188"/>
    <w:rsid w:val="004D593A"/>
    <w:rsid w:val="004F5A26"/>
    <w:rsid w:val="0050661C"/>
    <w:rsid w:val="005079CB"/>
    <w:rsid w:val="0051265D"/>
    <w:rsid w:val="00531BF4"/>
    <w:rsid w:val="005427DE"/>
    <w:rsid w:val="00545CDA"/>
    <w:rsid w:val="00546F28"/>
    <w:rsid w:val="005518E7"/>
    <w:rsid w:val="0055336D"/>
    <w:rsid w:val="00553F16"/>
    <w:rsid w:val="00564B4E"/>
    <w:rsid w:val="00567F86"/>
    <w:rsid w:val="00574B39"/>
    <w:rsid w:val="0059291D"/>
    <w:rsid w:val="005A5A48"/>
    <w:rsid w:val="005C0FDC"/>
    <w:rsid w:val="005C69F2"/>
    <w:rsid w:val="005C71FF"/>
    <w:rsid w:val="005D1DA5"/>
    <w:rsid w:val="005D32DA"/>
    <w:rsid w:val="005D4868"/>
    <w:rsid w:val="005F30A1"/>
    <w:rsid w:val="005F48B3"/>
    <w:rsid w:val="005F5BF4"/>
    <w:rsid w:val="005F66EF"/>
    <w:rsid w:val="00610F16"/>
    <w:rsid w:val="00631C95"/>
    <w:rsid w:val="00635C53"/>
    <w:rsid w:val="00644852"/>
    <w:rsid w:val="0065087F"/>
    <w:rsid w:val="00660125"/>
    <w:rsid w:val="00666B40"/>
    <w:rsid w:val="00676A4C"/>
    <w:rsid w:val="006A7278"/>
    <w:rsid w:val="006B2AD4"/>
    <w:rsid w:val="006C0C7A"/>
    <w:rsid w:val="006D41D4"/>
    <w:rsid w:val="006F44EB"/>
    <w:rsid w:val="006F6D24"/>
    <w:rsid w:val="007158A7"/>
    <w:rsid w:val="00717FA9"/>
    <w:rsid w:val="00743060"/>
    <w:rsid w:val="007433AF"/>
    <w:rsid w:val="00764ACA"/>
    <w:rsid w:val="007811D8"/>
    <w:rsid w:val="00782352"/>
    <w:rsid w:val="0078305E"/>
    <w:rsid w:val="00786E12"/>
    <w:rsid w:val="00791A04"/>
    <w:rsid w:val="00796409"/>
    <w:rsid w:val="0079671E"/>
    <w:rsid w:val="007A1525"/>
    <w:rsid w:val="007C13B9"/>
    <w:rsid w:val="007D2C8F"/>
    <w:rsid w:val="007E766F"/>
    <w:rsid w:val="007F66A2"/>
    <w:rsid w:val="007F6C25"/>
    <w:rsid w:val="00800E94"/>
    <w:rsid w:val="00806347"/>
    <w:rsid w:val="00824FEB"/>
    <w:rsid w:val="0083136A"/>
    <w:rsid w:val="00834616"/>
    <w:rsid w:val="008368B2"/>
    <w:rsid w:val="008433C4"/>
    <w:rsid w:val="00843749"/>
    <w:rsid w:val="00852172"/>
    <w:rsid w:val="00857C00"/>
    <w:rsid w:val="00861BB3"/>
    <w:rsid w:val="0087014E"/>
    <w:rsid w:val="008707F5"/>
    <w:rsid w:val="00876F56"/>
    <w:rsid w:val="00882E3A"/>
    <w:rsid w:val="0088359E"/>
    <w:rsid w:val="008A1DAF"/>
    <w:rsid w:val="008D22A3"/>
    <w:rsid w:val="008D2661"/>
    <w:rsid w:val="008E2F5A"/>
    <w:rsid w:val="009076D5"/>
    <w:rsid w:val="00917B78"/>
    <w:rsid w:val="009205FD"/>
    <w:rsid w:val="009317B4"/>
    <w:rsid w:val="00946EB8"/>
    <w:rsid w:val="00957CF0"/>
    <w:rsid w:val="00961660"/>
    <w:rsid w:val="009636A7"/>
    <w:rsid w:val="00983DC4"/>
    <w:rsid w:val="009875D1"/>
    <w:rsid w:val="00987BB2"/>
    <w:rsid w:val="00991B13"/>
    <w:rsid w:val="009922A8"/>
    <w:rsid w:val="009C4117"/>
    <w:rsid w:val="009C728A"/>
    <w:rsid w:val="009E0978"/>
    <w:rsid w:val="009E7F17"/>
    <w:rsid w:val="009F03FE"/>
    <w:rsid w:val="00A01B8D"/>
    <w:rsid w:val="00A0468D"/>
    <w:rsid w:val="00A070DD"/>
    <w:rsid w:val="00A124FC"/>
    <w:rsid w:val="00A15A3C"/>
    <w:rsid w:val="00A251B3"/>
    <w:rsid w:val="00A312E3"/>
    <w:rsid w:val="00A61A49"/>
    <w:rsid w:val="00A76EF4"/>
    <w:rsid w:val="00A849CA"/>
    <w:rsid w:val="00A85ECB"/>
    <w:rsid w:val="00A868CE"/>
    <w:rsid w:val="00A86B84"/>
    <w:rsid w:val="00AA18E4"/>
    <w:rsid w:val="00AA1C4A"/>
    <w:rsid w:val="00AA5C40"/>
    <w:rsid w:val="00AA5F4D"/>
    <w:rsid w:val="00AB44A4"/>
    <w:rsid w:val="00AD5093"/>
    <w:rsid w:val="00AE2A07"/>
    <w:rsid w:val="00AF2A9C"/>
    <w:rsid w:val="00AF37BC"/>
    <w:rsid w:val="00B0218B"/>
    <w:rsid w:val="00B11C1F"/>
    <w:rsid w:val="00B207A1"/>
    <w:rsid w:val="00B26035"/>
    <w:rsid w:val="00B26539"/>
    <w:rsid w:val="00B26EDC"/>
    <w:rsid w:val="00B27387"/>
    <w:rsid w:val="00B301D5"/>
    <w:rsid w:val="00B3254E"/>
    <w:rsid w:val="00B44A19"/>
    <w:rsid w:val="00B44BB0"/>
    <w:rsid w:val="00B46385"/>
    <w:rsid w:val="00B5322A"/>
    <w:rsid w:val="00B56C24"/>
    <w:rsid w:val="00B57CDF"/>
    <w:rsid w:val="00B66445"/>
    <w:rsid w:val="00B80C43"/>
    <w:rsid w:val="00B82DFD"/>
    <w:rsid w:val="00B9230F"/>
    <w:rsid w:val="00B94819"/>
    <w:rsid w:val="00B967A5"/>
    <w:rsid w:val="00BA4175"/>
    <w:rsid w:val="00BB080B"/>
    <w:rsid w:val="00BB3DC6"/>
    <w:rsid w:val="00BD1247"/>
    <w:rsid w:val="00BD3103"/>
    <w:rsid w:val="00BD7B4D"/>
    <w:rsid w:val="00BE77F6"/>
    <w:rsid w:val="00BF011F"/>
    <w:rsid w:val="00C02920"/>
    <w:rsid w:val="00C0387E"/>
    <w:rsid w:val="00C056F4"/>
    <w:rsid w:val="00C1336A"/>
    <w:rsid w:val="00C16E0E"/>
    <w:rsid w:val="00C218D0"/>
    <w:rsid w:val="00C255AE"/>
    <w:rsid w:val="00C31D5F"/>
    <w:rsid w:val="00C41FE8"/>
    <w:rsid w:val="00C469B5"/>
    <w:rsid w:val="00C5045B"/>
    <w:rsid w:val="00C54477"/>
    <w:rsid w:val="00C67069"/>
    <w:rsid w:val="00C71FDB"/>
    <w:rsid w:val="00C74B8A"/>
    <w:rsid w:val="00C82B31"/>
    <w:rsid w:val="00C85CDF"/>
    <w:rsid w:val="00C86A69"/>
    <w:rsid w:val="00C93308"/>
    <w:rsid w:val="00CA2986"/>
    <w:rsid w:val="00CD33AD"/>
    <w:rsid w:val="00CE34FD"/>
    <w:rsid w:val="00CE6910"/>
    <w:rsid w:val="00CF0FDF"/>
    <w:rsid w:val="00CF37F8"/>
    <w:rsid w:val="00CF4AAD"/>
    <w:rsid w:val="00D1310A"/>
    <w:rsid w:val="00D20B94"/>
    <w:rsid w:val="00D2311D"/>
    <w:rsid w:val="00D2385A"/>
    <w:rsid w:val="00D258C9"/>
    <w:rsid w:val="00D47066"/>
    <w:rsid w:val="00D57B9F"/>
    <w:rsid w:val="00D820F0"/>
    <w:rsid w:val="00D85939"/>
    <w:rsid w:val="00D863DD"/>
    <w:rsid w:val="00D9107F"/>
    <w:rsid w:val="00D9313C"/>
    <w:rsid w:val="00DA4780"/>
    <w:rsid w:val="00DC6848"/>
    <w:rsid w:val="00DC74AD"/>
    <w:rsid w:val="00DD24A1"/>
    <w:rsid w:val="00DE0340"/>
    <w:rsid w:val="00E015CC"/>
    <w:rsid w:val="00E03FE2"/>
    <w:rsid w:val="00E04A63"/>
    <w:rsid w:val="00E06C42"/>
    <w:rsid w:val="00E074F4"/>
    <w:rsid w:val="00E1180F"/>
    <w:rsid w:val="00E1307C"/>
    <w:rsid w:val="00E241F7"/>
    <w:rsid w:val="00E31D9E"/>
    <w:rsid w:val="00E338CE"/>
    <w:rsid w:val="00E35766"/>
    <w:rsid w:val="00E364F0"/>
    <w:rsid w:val="00E42DE6"/>
    <w:rsid w:val="00E57CD5"/>
    <w:rsid w:val="00E67828"/>
    <w:rsid w:val="00E72A11"/>
    <w:rsid w:val="00E83279"/>
    <w:rsid w:val="00E92241"/>
    <w:rsid w:val="00EC05B2"/>
    <w:rsid w:val="00EC078A"/>
    <w:rsid w:val="00EC263B"/>
    <w:rsid w:val="00EC30E5"/>
    <w:rsid w:val="00EC4293"/>
    <w:rsid w:val="00ED38EE"/>
    <w:rsid w:val="00EE175F"/>
    <w:rsid w:val="00F11B59"/>
    <w:rsid w:val="00F219D4"/>
    <w:rsid w:val="00F54E90"/>
    <w:rsid w:val="00F55BD1"/>
    <w:rsid w:val="00F56077"/>
    <w:rsid w:val="00F6164B"/>
    <w:rsid w:val="00F76A11"/>
    <w:rsid w:val="00F776CD"/>
    <w:rsid w:val="00F9030A"/>
    <w:rsid w:val="00F975AD"/>
    <w:rsid w:val="00FA009E"/>
    <w:rsid w:val="00FA22FA"/>
    <w:rsid w:val="00FB634A"/>
    <w:rsid w:val="00FD251D"/>
    <w:rsid w:val="00FD5C8A"/>
    <w:rsid w:val="00FE0FAD"/>
    <w:rsid w:val="00FE762A"/>
    <w:rsid w:val="00FF05A9"/>
    <w:rsid w:val="00FF4433"/>
    <w:rsid w:val="00FF46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340F5B-290A-4BDD-9890-470E84EE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AD"/>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85ECB"/>
    <w:pPr>
      <w:tabs>
        <w:tab w:val="center" w:pos="4419"/>
        <w:tab w:val="right" w:pos="8838"/>
      </w:tabs>
    </w:pPr>
  </w:style>
  <w:style w:type="character" w:customStyle="1" w:styleId="CabealhoChar">
    <w:name w:val="Cabeçalho Char"/>
    <w:link w:val="Cabealho"/>
    <w:semiHidden/>
    <w:rsid w:val="00A85ECB"/>
    <w:rPr>
      <w:rFonts w:ascii="Times New Roman" w:eastAsia="Times New Roman" w:hAnsi="Times New Roman" w:cs="Times New Roman"/>
      <w:sz w:val="24"/>
      <w:szCs w:val="24"/>
      <w:lang w:eastAsia="pt-BR"/>
    </w:rPr>
  </w:style>
  <w:style w:type="paragraph" w:styleId="Rodap">
    <w:name w:val="footer"/>
    <w:basedOn w:val="Normal"/>
    <w:link w:val="RodapChar"/>
    <w:semiHidden/>
    <w:rsid w:val="00A85ECB"/>
    <w:pPr>
      <w:tabs>
        <w:tab w:val="center" w:pos="4419"/>
        <w:tab w:val="right" w:pos="8838"/>
      </w:tabs>
    </w:pPr>
  </w:style>
  <w:style w:type="character" w:customStyle="1" w:styleId="RodapChar">
    <w:name w:val="Rodapé Char"/>
    <w:link w:val="Rodap"/>
    <w:semiHidden/>
    <w:rsid w:val="00A85ECB"/>
    <w:rPr>
      <w:rFonts w:ascii="Times New Roman" w:eastAsia="Times New Roman" w:hAnsi="Times New Roman" w:cs="Times New Roman"/>
      <w:sz w:val="24"/>
      <w:szCs w:val="24"/>
      <w:lang w:eastAsia="pt-BR"/>
    </w:rPr>
  </w:style>
  <w:style w:type="character" w:styleId="Nmerodepgina">
    <w:name w:val="page number"/>
    <w:basedOn w:val="Fontepargpadro"/>
    <w:semiHidden/>
    <w:rsid w:val="00A85ECB"/>
  </w:style>
  <w:style w:type="paragraph" w:customStyle="1" w:styleId="01-Minuta-CLG">
    <w:name w:val="01 - Minuta - CLG"/>
    <w:link w:val="01-Minuta-CLGChar"/>
    <w:rsid w:val="00A85ECB"/>
    <w:pPr>
      <w:spacing w:after="180"/>
      <w:jc w:val="center"/>
    </w:pPr>
    <w:rPr>
      <w:rFonts w:ascii="Times New Roman" w:eastAsia="Times New Roman" w:hAnsi="Times New Roman"/>
      <w:sz w:val="24"/>
    </w:rPr>
  </w:style>
  <w:style w:type="paragraph" w:customStyle="1" w:styleId="02-TtuloPrincipal-CLG">
    <w:name w:val="02 - Título Principal - CLG"/>
    <w:link w:val="02-TtuloPrincipal-CLGChar"/>
    <w:rsid w:val="00A85ECB"/>
    <w:pPr>
      <w:spacing w:after="960"/>
      <w:jc w:val="center"/>
    </w:pPr>
    <w:rPr>
      <w:rFonts w:ascii="Times New Roman" w:eastAsia="Times New Roman" w:hAnsi="Times New Roman"/>
      <w:b/>
      <w:bCs/>
      <w:sz w:val="32"/>
    </w:rPr>
  </w:style>
  <w:style w:type="paragraph" w:customStyle="1" w:styleId="03-Ementa-CLG">
    <w:name w:val="03 - Ementa - CLG"/>
    <w:link w:val="03-Ementa-CLGCharChar"/>
    <w:rsid w:val="00A85ECB"/>
    <w:pPr>
      <w:spacing w:after="960"/>
      <w:ind w:left="3686"/>
      <w:jc w:val="both"/>
    </w:pPr>
    <w:rPr>
      <w:rFonts w:ascii="Times New Roman" w:eastAsia="Arial Unicode MS" w:hAnsi="Times New Roman"/>
      <w:sz w:val="24"/>
      <w:szCs w:val="24"/>
    </w:rPr>
  </w:style>
  <w:style w:type="character" w:customStyle="1" w:styleId="03-Ementa-CLGCharChar">
    <w:name w:val="03 - Ementa - CLG Char Char"/>
    <w:link w:val="03-Ementa-CLG"/>
    <w:rsid w:val="00A85ECB"/>
    <w:rPr>
      <w:rFonts w:ascii="Times New Roman" w:eastAsia="Arial Unicode MS" w:hAnsi="Times New Roman"/>
      <w:sz w:val="24"/>
      <w:szCs w:val="24"/>
      <w:lang w:val="pt-BR" w:eastAsia="pt-BR" w:bidi="ar-SA"/>
    </w:rPr>
  </w:style>
  <w:style w:type="paragraph" w:customStyle="1" w:styleId="04-Relatoria-CLG">
    <w:name w:val="04 - Relatoria - CLG"/>
    <w:link w:val="04-Relatoria-CLGChar"/>
    <w:rsid w:val="00A85ECB"/>
    <w:pPr>
      <w:spacing w:after="960"/>
      <w:ind w:left="1440"/>
    </w:pPr>
    <w:rPr>
      <w:rFonts w:ascii="Times New Roman" w:eastAsia="Times New Roman" w:hAnsi="Times New Roman"/>
      <w:sz w:val="28"/>
    </w:rPr>
  </w:style>
  <w:style w:type="paragraph" w:customStyle="1" w:styleId="05-Subttulo-CLG">
    <w:name w:val="05 - Subtítulo - CLG"/>
    <w:link w:val="05-Subttulo-CLGChar"/>
    <w:rsid w:val="00A85ECB"/>
    <w:pPr>
      <w:spacing w:after="480"/>
      <w:jc w:val="both"/>
    </w:pPr>
    <w:rPr>
      <w:rFonts w:ascii="Times New Roman" w:eastAsia="Times New Roman" w:hAnsi="Times New Roman"/>
      <w:b/>
      <w:bCs/>
      <w:sz w:val="28"/>
    </w:rPr>
  </w:style>
  <w:style w:type="paragraph" w:customStyle="1" w:styleId="06-Pargrafodetexto-CLG">
    <w:name w:val="06 - Parágrafo de texto - CLG"/>
    <w:link w:val="06-Pargrafodetexto-CLGChar"/>
    <w:rsid w:val="00A85ECB"/>
    <w:pPr>
      <w:spacing w:after="360"/>
      <w:ind w:firstLine="1418"/>
      <w:jc w:val="both"/>
    </w:pPr>
    <w:rPr>
      <w:rFonts w:ascii="Times New Roman" w:eastAsia="Times New Roman" w:hAnsi="Times New Roman"/>
      <w:sz w:val="28"/>
    </w:rPr>
  </w:style>
  <w:style w:type="character" w:customStyle="1" w:styleId="01-Minuta-CLGChar">
    <w:name w:val="01 - Minuta - CLG Char"/>
    <w:link w:val="01-Minuta-CLG"/>
    <w:rsid w:val="00A85ECB"/>
    <w:rPr>
      <w:rFonts w:ascii="Times New Roman" w:eastAsia="Times New Roman" w:hAnsi="Times New Roman"/>
      <w:sz w:val="24"/>
      <w:lang w:val="pt-BR" w:eastAsia="pt-BR" w:bidi="ar-SA"/>
    </w:rPr>
  </w:style>
  <w:style w:type="paragraph" w:customStyle="1" w:styleId="10-Local-CLG">
    <w:name w:val="10 - Local - CLG"/>
    <w:link w:val="10-Local-CLGChar"/>
    <w:rsid w:val="00A85ECB"/>
    <w:pPr>
      <w:spacing w:before="960" w:after="720"/>
      <w:ind w:firstLine="2520"/>
      <w:jc w:val="both"/>
    </w:pPr>
    <w:rPr>
      <w:rFonts w:ascii="Times New Roman" w:eastAsia="Times New Roman" w:hAnsi="Times New Roman"/>
      <w:sz w:val="28"/>
    </w:rPr>
  </w:style>
  <w:style w:type="paragraph" w:customStyle="1" w:styleId="11-Assinaturas-CLG">
    <w:name w:val="11 - Assinaturas - CLG"/>
    <w:link w:val="11-Assinaturas-CLGChar"/>
    <w:rsid w:val="00A85ECB"/>
    <w:pPr>
      <w:spacing w:after="960"/>
      <w:ind w:left="6240"/>
      <w:jc w:val="both"/>
    </w:pPr>
    <w:rPr>
      <w:rFonts w:ascii="Times New Roman" w:eastAsia="Times New Roman" w:hAnsi="Times New Roman"/>
      <w:sz w:val="28"/>
    </w:rPr>
  </w:style>
  <w:style w:type="character" w:customStyle="1" w:styleId="02-TtuloPrincipal-CLGChar">
    <w:name w:val="02 - Título Principal - CLG Char"/>
    <w:link w:val="02-TtuloPrincipal-CLG"/>
    <w:rsid w:val="00A85ECB"/>
    <w:rPr>
      <w:rFonts w:ascii="Times New Roman" w:eastAsia="Times New Roman" w:hAnsi="Times New Roman"/>
      <w:b/>
      <w:bCs/>
      <w:sz w:val="32"/>
      <w:lang w:val="pt-BR" w:eastAsia="pt-BR" w:bidi="ar-SA"/>
    </w:rPr>
  </w:style>
  <w:style w:type="character" w:customStyle="1" w:styleId="04-Relatoria-CLGChar">
    <w:name w:val="04 - Relatoria - CLG Char"/>
    <w:link w:val="04-Relatoria-CLG"/>
    <w:rsid w:val="00A85ECB"/>
    <w:rPr>
      <w:rFonts w:ascii="Times New Roman" w:eastAsia="Times New Roman" w:hAnsi="Times New Roman"/>
      <w:sz w:val="28"/>
      <w:lang w:val="pt-BR" w:eastAsia="pt-BR" w:bidi="ar-SA"/>
    </w:rPr>
  </w:style>
  <w:style w:type="character" w:customStyle="1" w:styleId="05-Subttulo-CLGChar">
    <w:name w:val="05 - Subtítulo - CLG Char"/>
    <w:link w:val="05-Subttulo-CLG"/>
    <w:rsid w:val="00A85ECB"/>
    <w:rPr>
      <w:rFonts w:ascii="Times New Roman" w:eastAsia="Times New Roman" w:hAnsi="Times New Roman"/>
      <w:b/>
      <w:bCs/>
      <w:sz w:val="28"/>
      <w:lang w:val="pt-BR" w:eastAsia="pt-BR" w:bidi="ar-SA"/>
    </w:rPr>
  </w:style>
  <w:style w:type="character" w:customStyle="1" w:styleId="06-Pargrafodetexto-CLGChar">
    <w:name w:val="06 - Parágrafo de texto - CLG Char"/>
    <w:link w:val="06-Pargrafodetexto-CLG"/>
    <w:rsid w:val="00A85ECB"/>
    <w:rPr>
      <w:rFonts w:ascii="Times New Roman" w:eastAsia="Times New Roman" w:hAnsi="Times New Roman"/>
      <w:sz w:val="28"/>
      <w:lang w:val="pt-BR" w:eastAsia="pt-BR" w:bidi="ar-SA"/>
    </w:rPr>
  </w:style>
  <w:style w:type="character" w:customStyle="1" w:styleId="10-Local-CLGChar">
    <w:name w:val="10 - Local - CLG Char"/>
    <w:link w:val="10-Local-CLG"/>
    <w:rsid w:val="00A85ECB"/>
    <w:rPr>
      <w:rFonts w:ascii="Times New Roman" w:eastAsia="Times New Roman" w:hAnsi="Times New Roman"/>
      <w:sz w:val="28"/>
      <w:lang w:val="pt-BR" w:eastAsia="pt-BR" w:bidi="ar-SA"/>
    </w:rPr>
  </w:style>
  <w:style w:type="character" w:customStyle="1" w:styleId="11-Assinaturas-CLGChar">
    <w:name w:val="11 - Assinaturas - CLG Char"/>
    <w:link w:val="11-Assinaturas-CLG"/>
    <w:rsid w:val="00A85ECB"/>
    <w:rPr>
      <w:rFonts w:ascii="Times New Roman" w:eastAsia="Times New Roman" w:hAnsi="Times New Roman"/>
      <w:sz w:val="28"/>
      <w:lang w:val="pt-BR" w:eastAsia="pt-BR" w:bidi="ar-SA"/>
    </w:rPr>
  </w:style>
  <w:style w:type="paragraph" w:customStyle="1" w:styleId="07-Citaolegal-CLG">
    <w:name w:val="07 - Citação legal - CLG"/>
    <w:rsid w:val="00A85ECB"/>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rsid w:val="00A85ECB"/>
    <w:pPr>
      <w:spacing w:after="480"/>
      <w:ind w:left="1985" w:firstLine="567"/>
      <w:jc w:val="both"/>
    </w:pPr>
    <w:rPr>
      <w:rFonts w:ascii="Times New Roman" w:eastAsia="Times New Roman" w:hAnsi="Times New Roman"/>
      <w:sz w:val="24"/>
    </w:rPr>
  </w:style>
  <w:style w:type="paragraph" w:customStyle="1" w:styleId="09-Ttuloemenda-CLG">
    <w:name w:val="09 - Título emenda - CLG"/>
    <w:rsid w:val="00A85ECB"/>
    <w:pPr>
      <w:spacing w:before="480" w:after="360"/>
      <w:jc w:val="center"/>
    </w:pPr>
    <w:rPr>
      <w:rFonts w:ascii="Times New Roman" w:eastAsia="Times New Roman" w:hAnsi="Times New Roman"/>
      <w:b/>
      <w:bCs/>
      <w:spacing w:val="-4"/>
      <w:sz w:val="28"/>
    </w:rPr>
  </w:style>
  <w:style w:type="paragraph" w:customStyle="1" w:styleId="05-Pargrafodetexto-CLG">
    <w:name w:val="05 - Parágrafo de texto - CLG"/>
    <w:link w:val="05-Pargrafodetexto-CLGChar"/>
    <w:rsid w:val="00A0468D"/>
    <w:pPr>
      <w:spacing w:after="360"/>
      <w:ind w:firstLine="1418"/>
      <w:jc w:val="both"/>
    </w:pPr>
    <w:rPr>
      <w:rFonts w:ascii="Times New Roman" w:eastAsia="Times New Roman" w:hAnsi="Times New Roman"/>
      <w:sz w:val="28"/>
    </w:rPr>
  </w:style>
  <w:style w:type="character" w:customStyle="1" w:styleId="05-Pargrafodetexto-CLGChar">
    <w:name w:val="05 - Parágrafo de texto - CLG Char"/>
    <w:link w:val="05-Pargrafodetexto-CLG"/>
    <w:rsid w:val="00A0468D"/>
    <w:rPr>
      <w:rFonts w:ascii="Times New Roman" w:eastAsia="Times New Roman" w:hAnsi="Times New Roman"/>
      <w:sz w:val="28"/>
      <w:lang w:val="pt-BR" w:eastAsia="pt-BR" w:bidi="ar-SA"/>
    </w:rPr>
  </w:style>
  <w:style w:type="character" w:styleId="Hyperlink">
    <w:name w:val="Hyperlink"/>
    <w:rsid w:val="003811AD"/>
    <w:rPr>
      <w:color w:val="0505A0"/>
      <w:spacing w:val="0"/>
      <w:u w:val="single"/>
    </w:rPr>
  </w:style>
  <w:style w:type="paragraph" w:styleId="NormalWeb">
    <w:name w:val="Normal (Web)"/>
    <w:basedOn w:val="Normal"/>
    <w:rsid w:val="003811AD"/>
    <w:pPr>
      <w:spacing w:before="100" w:beforeAutospacing="1" w:after="100" w:afterAutospacing="1"/>
    </w:pPr>
  </w:style>
  <w:style w:type="paragraph" w:customStyle="1" w:styleId="textbody">
    <w:name w:val="textbody"/>
    <w:basedOn w:val="Normal"/>
    <w:rsid w:val="003025A7"/>
    <w:pPr>
      <w:spacing w:before="100" w:beforeAutospacing="1" w:after="100" w:afterAutospacing="1"/>
    </w:pPr>
  </w:style>
  <w:style w:type="paragraph" w:customStyle="1" w:styleId="Textbody0">
    <w:name w:val="Text body"/>
    <w:basedOn w:val="Normal"/>
    <w:rsid w:val="000F182D"/>
    <w:pPr>
      <w:widowControl w:val="0"/>
      <w:suppressAutoHyphens/>
      <w:autoSpaceDN w:val="0"/>
      <w:spacing w:after="120"/>
      <w:textAlignment w:val="baseline"/>
    </w:pPr>
    <w:rPr>
      <w:rFonts w:eastAsia="Lucida Sans Unicode" w:cs="Mangal"/>
      <w:kern w:val="3"/>
      <w:lang w:eastAsia="zh-CN" w:bidi="hi-IN"/>
    </w:rPr>
  </w:style>
  <w:style w:type="character" w:styleId="Refdecomentrio">
    <w:name w:val="annotation reference"/>
    <w:uiPriority w:val="99"/>
    <w:semiHidden/>
    <w:unhideWhenUsed/>
    <w:rsid w:val="009E0978"/>
    <w:rPr>
      <w:sz w:val="16"/>
      <w:szCs w:val="16"/>
    </w:rPr>
  </w:style>
  <w:style w:type="paragraph" w:styleId="Textodecomentrio">
    <w:name w:val="annotation text"/>
    <w:basedOn w:val="Normal"/>
    <w:link w:val="TextodecomentrioChar"/>
    <w:uiPriority w:val="99"/>
    <w:semiHidden/>
    <w:unhideWhenUsed/>
    <w:rsid w:val="009E0978"/>
    <w:rPr>
      <w:sz w:val="20"/>
      <w:szCs w:val="20"/>
    </w:rPr>
  </w:style>
  <w:style w:type="character" w:customStyle="1" w:styleId="TextodecomentrioChar">
    <w:name w:val="Texto de comentário Char"/>
    <w:link w:val="Textodecomentrio"/>
    <w:uiPriority w:val="99"/>
    <w:semiHidden/>
    <w:rsid w:val="009E097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E0978"/>
    <w:rPr>
      <w:b/>
      <w:bCs/>
    </w:rPr>
  </w:style>
  <w:style w:type="character" w:customStyle="1" w:styleId="AssuntodocomentrioChar">
    <w:name w:val="Assunto do comentário Char"/>
    <w:link w:val="Assuntodocomentrio"/>
    <w:uiPriority w:val="99"/>
    <w:semiHidden/>
    <w:rsid w:val="009E0978"/>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E0978"/>
    <w:rPr>
      <w:rFonts w:ascii="Tahoma" w:hAnsi="Tahoma" w:cs="Tahoma"/>
      <w:sz w:val="16"/>
      <w:szCs w:val="16"/>
    </w:rPr>
  </w:style>
  <w:style w:type="character" w:customStyle="1" w:styleId="TextodebaloChar">
    <w:name w:val="Texto de balão Char"/>
    <w:link w:val="Textodebalo"/>
    <w:uiPriority w:val="99"/>
    <w:semiHidden/>
    <w:rsid w:val="009E0978"/>
    <w:rPr>
      <w:rFonts w:ascii="Tahoma" w:eastAsia="Times New Roman" w:hAnsi="Tahoma" w:cs="Tahoma"/>
      <w:sz w:val="16"/>
      <w:szCs w:val="16"/>
      <w:lang w:eastAsia="pt-BR"/>
    </w:rPr>
  </w:style>
  <w:style w:type="character" w:customStyle="1" w:styleId="apple-converted-space">
    <w:name w:val="apple-converted-space"/>
    <w:basedOn w:val="Fontepargpadro"/>
    <w:rsid w:val="00F9030A"/>
  </w:style>
  <w:style w:type="character" w:styleId="nfase">
    <w:name w:val="Emphasis"/>
    <w:uiPriority w:val="20"/>
    <w:qFormat/>
    <w:rsid w:val="00F9030A"/>
    <w:rPr>
      <w:i/>
      <w:iCs/>
    </w:rPr>
  </w:style>
  <w:style w:type="paragraph" w:customStyle="1" w:styleId="04-PargrafodetextoEstudoNotas-CLG">
    <w:name w:val="04 - Parágrafo de texto Estudo Notas - CLG"/>
    <w:link w:val="04-PargrafodetextoEstudoNotas-CLGChar"/>
    <w:rsid w:val="00CA2986"/>
    <w:pPr>
      <w:spacing w:after="360" w:line="360" w:lineRule="auto"/>
      <w:ind w:firstLine="1418"/>
      <w:jc w:val="both"/>
    </w:pPr>
    <w:rPr>
      <w:rFonts w:ascii="Times New Roman" w:eastAsia="Times New Roman" w:hAnsi="Times New Roman"/>
      <w:sz w:val="28"/>
      <w:szCs w:val="22"/>
      <w:lang w:val="en-US"/>
    </w:rPr>
  </w:style>
  <w:style w:type="character" w:customStyle="1" w:styleId="04-PargrafodetextoEstudoNotas-CLGChar">
    <w:name w:val="04 - Parágrafo de texto Estudo Notas - CLG Char"/>
    <w:link w:val="04-PargrafodetextoEstudoNotas-CLG"/>
    <w:rsid w:val="00CA2986"/>
    <w:rPr>
      <w:rFonts w:ascii="Times New Roman" w:eastAsia="Times New Roman" w:hAnsi="Times New Roman"/>
      <w:sz w:val="28"/>
      <w:szCs w:val="22"/>
      <w:lang w:val="en-US" w:eastAsia="pt-BR" w:bidi="ar-SA"/>
    </w:rPr>
  </w:style>
  <w:style w:type="paragraph" w:styleId="Textodenotaderodap">
    <w:name w:val="footnote text"/>
    <w:basedOn w:val="Normal"/>
    <w:link w:val="TextodenotaderodapChar"/>
    <w:rsid w:val="00CA2986"/>
    <w:rPr>
      <w:sz w:val="20"/>
      <w:szCs w:val="20"/>
      <w:lang w:val="x-none"/>
    </w:rPr>
  </w:style>
  <w:style w:type="character" w:customStyle="1" w:styleId="TextodenotaderodapChar">
    <w:name w:val="Texto de nota de rodapé Char"/>
    <w:link w:val="Textodenotaderodap"/>
    <w:rsid w:val="00CA2986"/>
    <w:rPr>
      <w:rFonts w:ascii="Times New Roman" w:eastAsia="Times New Roman" w:hAnsi="Times New Roman" w:cs="Times New Roman"/>
      <w:sz w:val="20"/>
      <w:szCs w:val="20"/>
      <w:lang w:val="x-none" w:eastAsia="pt-BR"/>
    </w:rPr>
  </w:style>
  <w:style w:type="character" w:styleId="Refdenotaderodap">
    <w:name w:val="footnote reference"/>
    <w:rsid w:val="00CA2986"/>
    <w:rPr>
      <w:vertAlign w:val="superscript"/>
    </w:rPr>
  </w:style>
  <w:style w:type="paragraph" w:styleId="Reviso">
    <w:name w:val="Revision"/>
    <w:hidden/>
    <w:uiPriority w:val="99"/>
    <w:semiHidden/>
    <w:rsid w:val="00B56C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6257">
      <w:bodyDiv w:val="1"/>
      <w:marLeft w:val="0"/>
      <w:marRight w:val="0"/>
      <w:marTop w:val="0"/>
      <w:marBottom w:val="0"/>
      <w:divBdr>
        <w:top w:val="none" w:sz="0" w:space="0" w:color="auto"/>
        <w:left w:val="none" w:sz="0" w:space="0" w:color="auto"/>
        <w:bottom w:val="none" w:sz="0" w:space="0" w:color="auto"/>
        <w:right w:val="none" w:sz="0" w:space="0" w:color="auto"/>
      </w:divBdr>
    </w:div>
    <w:div w:id="448159286">
      <w:bodyDiv w:val="1"/>
      <w:marLeft w:val="0"/>
      <w:marRight w:val="0"/>
      <w:marTop w:val="0"/>
      <w:marBottom w:val="0"/>
      <w:divBdr>
        <w:top w:val="none" w:sz="0" w:space="0" w:color="auto"/>
        <w:left w:val="none" w:sz="0" w:space="0" w:color="auto"/>
        <w:bottom w:val="none" w:sz="0" w:space="0" w:color="auto"/>
        <w:right w:val="none" w:sz="0" w:space="0" w:color="auto"/>
      </w:divBdr>
    </w:div>
    <w:div w:id="833110378">
      <w:bodyDiv w:val="1"/>
      <w:marLeft w:val="0"/>
      <w:marRight w:val="0"/>
      <w:marTop w:val="0"/>
      <w:marBottom w:val="0"/>
      <w:divBdr>
        <w:top w:val="none" w:sz="0" w:space="0" w:color="auto"/>
        <w:left w:val="none" w:sz="0" w:space="0" w:color="auto"/>
        <w:bottom w:val="none" w:sz="0" w:space="0" w:color="auto"/>
        <w:right w:val="none" w:sz="0" w:space="0" w:color="auto"/>
      </w:divBdr>
      <w:divsChild>
        <w:div w:id="185094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32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0996632">
      <w:bodyDiv w:val="1"/>
      <w:marLeft w:val="0"/>
      <w:marRight w:val="0"/>
      <w:marTop w:val="0"/>
      <w:marBottom w:val="0"/>
      <w:divBdr>
        <w:top w:val="none" w:sz="0" w:space="0" w:color="auto"/>
        <w:left w:val="none" w:sz="0" w:space="0" w:color="auto"/>
        <w:bottom w:val="none" w:sz="0" w:space="0" w:color="auto"/>
        <w:right w:val="none" w:sz="0" w:space="0" w:color="auto"/>
      </w:divBdr>
    </w:div>
    <w:div w:id="20420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9EA696-BF7B-4DED-BFF4-DC966755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1989</Words>
  <Characters>10742</Characters>
  <Application>Microsoft Office Word</Application>
  <DocSecurity>4</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Senado Federal</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Raimundo Nonato Silva Damasceno Junior</dc:creator>
  <cp:keywords/>
  <cp:lastModifiedBy>Vivian de Andrade Zoehler Santa Helena</cp:lastModifiedBy>
  <cp:revision>2</cp:revision>
  <cp:lastPrinted>2015-11-09T12:30:00Z</cp:lastPrinted>
  <dcterms:created xsi:type="dcterms:W3CDTF">2015-12-01T21:49:00Z</dcterms:created>
  <dcterms:modified xsi:type="dcterms:W3CDTF">2015-12-01T21:49:00Z</dcterms:modified>
</cp:coreProperties>
</file>