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CB" w:rsidRDefault="00C218D0" w:rsidP="007A5285">
      <w:pPr>
        <w:pStyle w:val="02-TtuloPrincipal-CLG"/>
        <w:spacing w:after="720"/>
      </w:pPr>
      <w:bookmarkStart w:id="0" w:name="_GoBack"/>
      <w:bookmarkEnd w:id="0"/>
      <w:r>
        <w:rPr>
          <w:caps/>
        </w:rPr>
        <w:t>Parecer</w:t>
      </w:r>
      <w:r w:rsidR="00A85ECB">
        <w:t xml:space="preserve"> Nº       , DE 2015</w:t>
      </w:r>
    </w:p>
    <w:p w:rsidR="00A85ECB" w:rsidRDefault="00C218D0" w:rsidP="007A5285">
      <w:pPr>
        <w:pStyle w:val="03-Ementa-CLG"/>
        <w:spacing w:after="720"/>
      </w:pPr>
      <w:r>
        <w:t xml:space="preserve">Da </w:t>
      </w:r>
      <w:r w:rsidR="00EC3FD7" w:rsidRPr="00EC3FD7">
        <w:t>COMISSÃO DE DESENVOLVIMENTO REGIONAL E TURISMO</w:t>
      </w:r>
      <w:r>
        <w:t>, sobre o Pro</w:t>
      </w:r>
      <w:r w:rsidR="00EC3FD7">
        <w:t>jeto de Lei da Câmara (PLC) nº 149</w:t>
      </w:r>
      <w:r>
        <w:t>, de 2015</w:t>
      </w:r>
      <w:r w:rsidR="00EC3FD7">
        <w:t xml:space="preserve"> (Projeto de Lei nº 3.161, de 2015</w:t>
      </w:r>
      <w:r w:rsidR="00777587">
        <w:t>, na Casa de origem)</w:t>
      </w:r>
      <w:r>
        <w:t xml:space="preserve">, do Deputado </w:t>
      </w:r>
      <w:r w:rsidR="00EC3FD7" w:rsidRPr="00EC3FD7">
        <w:t>Alex Manente</w:t>
      </w:r>
      <w:r>
        <w:t xml:space="preserve">, que </w:t>
      </w:r>
      <w:r w:rsidR="00EC3FD7">
        <w:rPr>
          <w:i/>
        </w:rPr>
        <w:t>a</w:t>
      </w:r>
      <w:r w:rsidR="00EC3FD7" w:rsidRPr="00EC3FD7">
        <w:rPr>
          <w:i/>
        </w:rPr>
        <w:t>ltera a Lei nº 6.815, de 19 de agosto de</w:t>
      </w:r>
      <w:r w:rsidR="00EC3FD7">
        <w:rPr>
          <w:i/>
        </w:rPr>
        <w:t xml:space="preserve"> </w:t>
      </w:r>
      <w:r w:rsidR="00EC3FD7" w:rsidRPr="00EC3FD7">
        <w:rPr>
          <w:i/>
        </w:rPr>
        <w:t>1980, que define a situação jurídica do</w:t>
      </w:r>
      <w:r w:rsidR="00EC3FD7">
        <w:rPr>
          <w:i/>
        </w:rPr>
        <w:t xml:space="preserve"> </w:t>
      </w:r>
      <w:r w:rsidR="00EC3FD7" w:rsidRPr="00EC3FD7">
        <w:rPr>
          <w:i/>
        </w:rPr>
        <w:t>estrangeiro no Brasil e cria o Conselho</w:t>
      </w:r>
      <w:r w:rsidR="00EC3FD7">
        <w:rPr>
          <w:i/>
        </w:rPr>
        <w:t xml:space="preserve"> </w:t>
      </w:r>
      <w:r w:rsidR="00EC3FD7" w:rsidRPr="00EC3FD7">
        <w:rPr>
          <w:i/>
        </w:rPr>
        <w:t>Nacional de Imigração, para dispo</w:t>
      </w:r>
      <w:r w:rsidR="00EC3FD7">
        <w:rPr>
          <w:i/>
        </w:rPr>
        <w:t xml:space="preserve">r </w:t>
      </w:r>
      <w:r w:rsidR="00EC3FD7" w:rsidRPr="00EC3FD7">
        <w:rPr>
          <w:i/>
        </w:rPr>
        <w:t>sobre a dispensa unilateral de visto de</w:t>
      </w:r>
      <w:r w:rsidR="00EC3FD7">
        <w:rPr>
          <w:i/>
        </w:rPr>
        <w:t xml:space="preserve"> </w:t>
      </w:r>
      <w:r w:rsidR="00EC3FD7" w:rsidRPr="00EC3FD7">
        <w:rPr>
          <w:i/>
        </w:rPr>
        <w:t>turista por ocasião dos Jogos Olímpicos</w:t>
      </w:r>
      <w:r w:rsidR="00EC3FD7">
        <w:rPr>
          <w:i/>
        </w:rPr>
        <w:t xml:space="preserve"> </w:t>
      </w:r>
      <w:r w:rsidR="00EC3FD7" w:rsidRPr="00EC3FD7">
        <w:rPr>
          <w:i/>
        </w:rPr>
        <w:t>e Paralímpicos de 2016, Rio 2016</w:t>
      </w:r>
      <w:r>
        <w:t>.</w:t>
      </w:r>
    </w:p>
    <w:p w:rsidR="00A85ECB" w:rsidRDefault="00C218D0" w:rsidP="007A5285">
      <w:pPr>
        <w:pStyle w:val="04-Relatoria-CLG"/>
        <w:spacing w:after="720"/>
      </w:pPr>
      <w:r>
        <w:t xml:space="preserve">Relatora: Senadora </w:t>
      </w:r>
      <w:r w:rsidR="00EC3FD7" w:rsidRPr="00EC3FD7">
        <w:rPr>
          <w:b/>
          <w:caps/>
        </w:rPr>
        <w:t>Lídice da Mata</w:t>
      </w:r>
    </w:p>
    <w:p w:rsidR="00A85ECB" w:rsidRDefault="00A85ECB" w:rsidP="007A5285">
      <w:pPr>
        <w:pStyle w:val="05-Subttulo-CLG"/>
        <w:spacing w:after="360"/>
      </w:pPr>
      <w:r>
        <w:t>I – RELATÓRIO</w:t>
      </w:r>
    </w:p>
    <w:p w:rsidR="00A85ECB" w:rsidRDefault="00777587" w:rsidP="007A5285">
      <w:pPr>
        <w:pStyle w:val="06-Pargrafodetexto-CLG"/>
        <w:spacing w:after="240"/>
      </w:pPr>
      <w:r>
        <w:t xml:space="preserve">Vem ao exame desta Comissão de </w:t>
      </w:r>
      <w:r w:rsidR="00EC3FD7">
        <w:t>Desenvolvimento Regional e Turismo (CDR</w:t>
      </w:r>
      <w:r>
        <w:t>) o Pro</w:t>
      </w:r>
      <w:r w:rsidR="00EC3FD7">
        <w:t>jeto de Lei da Câmara (PLC) nº 149</w:t>
      </w:r>
      <w:r>
        <w:t xml:space="preserve"> de 2015 (Projeto de Lei nº </w:t>
      </w:r>
      <w:r w:rsidR="00EC3FD7">
        <w:t>3.161, de 215</w:t>
      </w:r>
      <w:r>
        <w:t>, na Casa de origem), d</w:t>
      </w:r>
      <w:r w:rsidR="00DC5506">
        <w:t>o</w:t>
      </w:r>
      <w:r>
        <w:t xml:space="preserve"> Deputado </w:t>
      </w:r>
      <w:r w:rsidR="00EC3FD7">
        <w:t>Alex Manente</w:t>
      </w:r>
      <w:r>
        <w:t xml:space="preserve">, </w:t>
      </w:r>
      <w:r w:rsidR="00EC3FD7">
        <w:t>que altera a Lei nº 6.815, de 19 de agosto de 1980, que d</w:t>
      </w:r>
      <w:r w:rsidR="00EC3FD7" w:rsidRPr="00EC3FD7">
        <w:t>efine a situação ju</w:t>
      </w:r>
      <w:r w:rsidR="00EC3FD7">
        <w:t>rídica do estrangeiro no Brasil e</w:t>
      </w:r>
      <w:r w:rsidR="00EC3FD7" w:rsidRPr="00EC3FD7">
        <w:t xml:space="preserve"> cria o Conselho Nacional de Imigração</w:t>
      </w:r>
      <w:r w:rsidR="00EC3FD7">
        <w:t>, para dispor sobre a dispensa unilateral do visto de turista por ocasião dos Jogos Olímpicos e Paralímpicos de 2016, a serem realizados na cidade do Rio de Janeiro</w:t>
      </w:r>
      <w:r>
        <w:t>.</w:t>
      </w:r>
    </w:p>
    <w:p w:rsidR="00777587" w:rsidRDefault="00777587" w:rsidP="00607D8C">
      <w:pPr>
        <w:pStyle w:val="06-Pargrafodetexto-CLG"/>
      </w:pPr>
      <w:r>
        <w:t>O Projeto</w:t>
      </w:r>
      <w:r w:rsidR="00EC3FD7">
        <w:t xml:space="preserve"> acrescenta </w:t>
      </w:r>
      <w:r w:rsidR="00607D8C">
        <w:t xml:space="preserve">à referida Lei </w:t>
      </w:r>
      <w:r w:rsidR="00EC3FD7">
        <w:t>o art. 130-A</w:t>
      </w:r>
      <w:r w:rsidR="00607D8C">
        <w:t xml:space="preserve"> para estabelecer que portaria conjunta dos Ministérios das Relações Exteriores, da Justiça e do Turismo poderá dispor sobre a dispensa unilateral da exigência de visto de turismo previsto nesta Lei para os nacionais de países nela especificados, que venham a entrar em território nacional até a data de 18 de setembro de 2016, com prazo de estada de até noventa dias, improrrogáveis, a contar da data da primeira entrada em território nacional</w:t>
      </w:r>
      <w:r w:rsidR="0088411C">
        <w:t>.</w:t>
      </w:r>
    </w:p>
    <w:p w:rsidR="00607D8C" w:rsidRDefault="00607D8C" w:rsidP="00607D8C">
      <w:pPr>
        <w:pStyle w:val="06-Pargrafodetexto-CLG"/>
      </w:pPr>
      <w:r>
        <w:lastRenderedPageBreak/>
        <w:t>A proposição define, ainda, que a dispensa unilateral prevista não estará condicionada à comprovação de aquisição de ingressos para assistir a qualquer evento das modalidades desportivas dos Jogos Rio 2016</w:t>
      </w:r>
      <w:r w:rsidR="00276986">
        <w:t>.</w:t>
      </w:r>
    </w:p>
    <w:p w:rsidR="00043AB8" w:rsidRDefault="00043AB8" w:rsidP="00043AB8">
      <w:pPr>
        <w:pStyle w:val="06-Pargrafodetexto-CLG"/>
      </w:pPr>
      <w:r>
        <w:t xml:space="preserve">A cláusula de vigência determina que a lei </w:t>
      </w:r>
      <w:r w:rsidR="00C73489">
        <w:t>resultante</w:t>
      </w:r>
      <w:r>
        <w:t xml:space="preserve"> do projeto entre em vigor na data de sua publicação.</w:t>
      </w:r>
    </w:p>
    <w:p w:rsidR="00607D8C" w:rsidRDefault="00E17BB8" w:rsidP="003E43EA">
      <w:pPr>
        <w:pStyle w:val="06-Pargrafodetexto-CLG"/>
      </w:pPr>
      <w:r w:rsidRPr="00E17BB8">
        <w:t xml:space="preserve">A </w:t>
      </w:r>
      <w:r>
        <w:t>matéria</w:t>
      </w:r>
      <w:r w:rsidRPr="00E17BB8">
        <w:t xml:space="preserve"> foi distribuída à </w:t>
      </w:r>
      <w:r w:rsidR="00607D8C">
        <w:t>CDR</w:t>
      </w:r>
      <w:r w:rsidRPr="00E17BB8">
        <w:t xml:space="preserve"> e</w:t>
      </w:r>
      <w:r w:rsidR="00607D8C">
        <w:t xml:space="preserve"> à </w:t>
      </w:r>
      <w:r w:rsidR="00607D8C" w:rsidRPr="00607D8C">
        <w:t>Comissão de Relações Exteriores e Defesa Nacional</w:t>
      </w:r>
      <w:r w:rsidR="00607D8C">
        <w:t xml:space="preserve"> (CRE).</w:t>
      </w:r>
    </w:p>
    <w:p w:rsidR="00043AB8" w:rsidRPr="003311AC" w:rsidRDefault="00607D8C" w:rsidP="007A5285">
      <w:pPr>
        <w:pStyle w:val="06-Pargrafodetexto-CLG"/>
        <w:spacing w:after="720"/>
      </w:pPr>
      <w:r>
        <w:t>A</w:t>
      </w:r>
      <w:r w:rsidR="00E17BB8" w:rsidRPr="00E17BB8">
        <w:t>té o momento, não foram apresentadas emendas ao projeto em exame.</w:t>
      </w:r>
    </w:p>
    <w:p w:rsidR="00A85ECB" w:rsidRPr="005523B9" w:rsidRDefault="00A85ECB" w:rsidP="007A5285">
      <w:pPr>
        <w:pStyle w:val="05-Subttulo-CLG"/>
        <w:spacing w:after="360"/>
      </w:pPr>
      <w:r w:rsidRPr="005523B9">
        <w:t>II – ANÁLISE</w:t>
      </w:r>
    </w:p>
    <w:p w:rsidR="00C73489" w:rsidRDefault="009555C1" w:rsidP="00A85ECB">
      <w:pPr>
        <w:pStyle w:val="06-Pargrafodetexto-CLG"/>
      </w:pPr>
      <w:r>
        <w:t xml:space="preserve">O </w:t>
      </w:r>
      <w:r w:rsidR="007C3763">
        <w:t xml:space="preserve">Projeto de Lei da Câmara (PLC) nº 149, de 2015, </w:t>
      </w:r>
      <w:r>
        <w:t xml:space="preserve">vem ao exame </w:t>
      </w:r>
      <w:r w:rsidR="00C73489">
        <w:t xml:space="preserve">desta </w:t>
      </w:r>
      <w:r w:rsidR="007C3763">
        <w:t>Comissão de Desenvolvimento Regional e Turismo (CDR)</w:t>
      </w:r>
      <w:r w:rsidR="00C73489">
        <w:t>,</w:t>
      </w:r>
      <w:r w:rsidR="00C73489" w:rsidRPr="00697BA4">
        <w:t xml:space="preserve"> em cumprimento ao disposto </w:t>
      </w:r>
      <w:r w:rsidR="00C73489">
        <w:t>n</w:t>
      </w:r>
      <w:r w:rsidR="00C73489" w:rsidRPr="00697BA4">
        <w:t xml:space="preserve">o </w:t>
      </w:r>
      <w:r w:rsidR="0006463F">
        <w:t>art. 104-A</w:t>
      </w:r>
      <w:r w:rsidR="00C73489">
        <w:t xml:space="preserve">, </w:t>
      </w:r>
      <w:r w:rsidR="00C73489" w:rsidRPr="00697BA4">
        <w:t>do Regimento Interno do Senado Federal</w:t>
      </w:r>
      <w:r w:rsidR="00C73489">
        <w:t xml:space="preserve"> (RISF), segundo o qual compete a esta Comissão</w:t>
      </w:r>
      <w:r w:rsidR="0006463F">
        <w:t xml:space="preserve"> opinar sobre matérias pertinentes a proposições que tratem de assuntos referentes ao turismo</w:t>
      </w:r>
      <w:r w:rsidR="00C73489">
        <w:t>.</w:t>
      </w:r>
    </w:p>
    <w:p w:rsidR="00832F9F" w:rsidRDefault="00832F9F" w:rsidP="00832F9F">
      <w:pPr>
        <w:pStyle w:val="06-Pargrafodetexto-CLG"/>
      </w:pPr>
      <w:r>
        <w:t>Quanto aos aspectos constitucionais</w:t>
      </w:r>
      <w:r w:rsidRPr="00376AD2">
        <w:t xml:space="preserve">, o projeto mostra-se apto a receber o aval do Senado. Em termos formais, ele preenche os requisitos exigidos pela </w:t>
      </w:r>
      <w:r>
        <w:t>Constituição</w:t>
      </w:r>
      <w:r w:rsidRPr="00376AD2">
        <w:t xml:space="preserve">: não afronta cláusula pétrea, respeita o princípio da reserva de iniciativa, materializa-se na espécie adequada de lei e versa sobre matéria que está no âmbito de competência legislativa da União e das atribuições dos membros do Congresso Nacional. </w:t>
      </w:r>
      <w:r>
        <w:t xml:space="preserve">Além disso, foram observadas as </w:t>
      </w:r>
      <w:r w:rsidRPr="00C3362B">
        <w:t xml:space="preserve">regras </w:t>
      </w:r>
      <w:r>
        <w:t>acerca da</w:t>
      </w:r>
      <w:r w:rsidRPr="00C3362B">
        <w:t xml:space="preserve"> iniciativa parlamentar</w:t>
      </w:r>
      <w:r>
        <w:t>. Do ponto de vista material, o projeto está em harmonia com os preceitos da Lei Maior.</w:t>
      </w:r>
    </w:p>
    <w:p w:rsidR="00E17BB8" w:rsidRDefault="00C219B4" w:rsidP="00832F9F">
      <w:pPr>
        <w:pStyle w:val="06-Pargrafodetexto-CLG"/>
      </w:pPr>
      <w:r>
        <w:t>Ademais</w:t>
      </w:r>
      <w:r w:rsidR="00E17BB8">
        <w:t>, o projeto não apresenta vícios de juridicidade e</w:t>
      </w:r>
      <w:r w:rsidR="00DC5506">
        <w:t xml:space="preserve"> de</w:t>
      </w:r>
      <w:r w:rsidR="00E17BB8">
        <w:t xml:space="preserve"> regimentalidade e vem vazado em boa técnica legislativa.</w:t>
      </w:r>
    </w:p>
    <w:p w:rsidR="00140CDA" w:rsidRDefault="00E17BB8" w:rsidP="00E17BB8">
      <w:pPr>
        <w:pStyle w:val="06-Pargrafodetexto-CLG"/>
      </w:pPr>
      <w:r w:rsidRPr="00E17BB8">
        <w:lastRenderedPageBreak/>
        <w:t>Quanto ao mérito,</w:t>
      </w:r>
      <w:r w:rsidR="009B4A8A">
        <w:t xml:space="preserve"> </w:t>
      </w:r>
      <w:r w:rsidR="00FC41F7">
        <w:t xml:space="preserve">o </w:t>
      </w:r>
      <w:r w:rsidR="007C3763">
        <w:t>PLC nº 149, de 2015,</w:t>
      </w:r>
      <w:r w:rsidR="0006463F">
        <w:t xml:space="preserve"> ao permitir a dispensa do visto de turista por ocasião da realização dos Jogos Olímpicos Rio </w:t>
      </w:r>
      <w:r w:rsidR="00276986">
        <w:t>2016</w:t>
      </w:r>
      <w:r w:rsidR="0006463F">
        <w:t xml:space="preserve">, </w:t>
      </w:r>
      <w:r w:rsidR="0024740E">
        <w:t xml:space="preserve">visa a facilitar o ingresso de maior número de visitantes estrangeiros no País, o que beneficiará </w:t>
      </w:r>
      <w:r w:rsidR="00276986">
        <w:t>toda a cadeia</w:t>
      </w:r>
      <w:r w:rsidR="0024740E">
        <w:t xml:space="preserve"> do turismo e dinamizará o setor de serviços em geral</w:t>
      </w:r>
      <w:r w:rsidR="005C0BC8">
        <w:t xml:space="preserve"> e, consequentemente, a economia </w:t>
      </w:r>
      <w:r w:rsidR="00276986">
        <w:t>local</w:t>
      </w:r>
      <w:r w:rsidR="0024740E">
        <w:t>. O fato de se tratar de dispensa unilateral</w:t>
      </w:r>
      <w:r w:rsidR="005C0BC8">
        <w:t xml:space="preserve"> de visto</w:t>
      </w:r>
      <w:r w:rsidR="0024740E">
        <w:t>, o que fere princípio basilar do Direito Internacional, qual seja, o da reciprocidade, em nada diminui o mérito da proposição em tela</w:t>
      </w:r>
      <w:r w:rsidR="005C0BC8">
        <w:t>,</w:t>
      </w:r>
      <w:r w:rsidR="0024740E">
        <w:t xml:space="preserve"> tendo em vista a presença de dois importantes condicionantes: o visto é concedido apenas para os nacionais de países previamente determinados pelo Governo brasileiro e o benefício é concedido por prazo limitado </w:t>
      </w:r>
      <w:r w:rsidR="005C0BC8">
        <w:t>pelo</w:t>
      </w:r>
      <w:r w:rsidR="0024740E">
        <w:t xml:space="preserve"> próprio texto legal, isso é, </w:t>
      </w:r>
      <w:r w:rsidR="005C0BC8">
        <w:t xml:space="preserve">apenas para aqueles visitantes que venham a entrar no País até </w:t>
      </w:r>
      <w:r w:rsidR="0024740E">
        <w:t>18 de setembro de 2016</w:t>
      </w:r>
      <w:r w:rsidR="005C0BC8">
        <w:t>.</w:t>
      </w:r>
    </w:p>
    <w:p w:rsidR="00A85ECB" w:rsidRPr="00433B79" w:rsidRDefault="00140CDA" w:rsidP="00B76E42">
      <w:pPr>
        <w:pStyle w:val="06-Pargrafodetexto-CLG"/>
        <w:spacing w:after="600"/>
      </w:pPr>
      <w:r>
        <w:t>Por fim, acreditamos que a iniciativa trará benefícios similares àqueles observados quando da realização da Copa do Mundo em 2014, período em que a cidade do Rio de Janeiro recebeu quase meio milhão de estrangeiros.</w:t>
      </w:r>
    </w:p>
    <w:p w:rsidR="00A85ECB" w:rsidRDefault="00A85ECB" w:rsidP="00B76E42">
      <w:pPr>
        <w:pStyle w:val="05-Subttulo-CLG"/>
        <w:spacing w:after="360"/>
      </w:pPr>
      <w:r>
        <w:t>III – VOTO</w:t>
      </w:r>
    </w:p>
    <w:p w:rsidR="00A85ECB" w:rsidRPr="00433B79" w:rsidRDefault="00456ED2" w:rsidP="00A85ECB">
      <w:pPr>
        <w:pStyle w:val="06-Pargrafodetexto-CLG"/>
      </w:pPr>
      <w:r>
        <w:t xml:space="preserve">Diante do exposto, o voto é pela </w:t>
      </w:r>
      <w:r w:rsidRPr="00456ED2">
        <w:rPr>
          <w:b/>
        </w:rPr>
        <w:t>aprovação</w:t>
      </w:r>
      <w:r>
        <w:t xml:space="preserve"> do Projeto de Lei da Câmara nº </w:t>
      </w:r>
      <w:r w:rsidR="007C3763">
        <w:t>149</w:t>
      </w:r>
      <w:r>
        <w:t>, de 2015.</w:t>
      </w:r>
    </w:p>
    <w:p w:rsidR="00A85ECB" w:rsidRDefault="00C218D0" w:rsidP="00A85ECB">
      <w:pPr>
        <w:pStyle w:val="10-Local-CLG"/>
      </w:pPr>
      <w:r>
        <w:t>Sala da Comissão,</w:t>
      </w:r>
    </w:p>
    <w:p w:rsidR="00A85ECB" w:rsidRPr="00724990" w:rsidRDefault="00A85ECB" w:rsidP="00A85ECB">
      <w:pPr>
        <w:pStyle w:val="11-Assinaturas-CLG"/>
      </w:pPr>
      <w:r>
        <w:t>, Presidente</w:t>
      </w:r>
    </w:p>
    <w:p w:rsidR="00A85ECB" w:rsidRDefault="00A85ECB" w:rsidP="00A85ECB">
      <w:pPr>
        <w:pStyle w:val="11-Assinaturas-CLG"/>
      </w:pPr>
      <w:r>
        <w:t>, Relatora</w:t>
      </w:r>
    </w:p>
    <w:sectPr w:rsidR="00A85ECB" w:rsidSect="007A5285">
      <w:headerReference w:type="even" r:id="rId7"/>
      <w:headerReference w:type="default" r:id="rId8"/>
      <w:footerReference w:type="first" r:id="rId9"/>
      <w:pgSz w:w="11906" w:h="16838"/>
      <w:pgMar w:top="2835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B0" w:rsidRDefault="00D769B0" w:rsidP="00A85ECB">
      <w:pPr>
        <w:spacing w:after="0" w:line="240" w:lineRule="auto"/>
      </w:pPr>
      <w:r>
        <w:separator/>
      </w:r>
    </w:p>
  </w:endnote>
  <w:endnote w:type="continuationSeparator" w:id="0">
    <w:p w:rsidR="00D769B0" w:rsidRDefault="00D769B0" w:rsidP="00A8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0E" w:rsidRPr="00342E7D" w:rsidRDefault="0024740E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B0" w:rsidRDefault="00D769B0" w:rsidP="00A85ECB">
      <w:pPr>
        <w:spacing w:after="0" w:line="240" w:lineRule="auto"/>
      </w:pPr>
      <w:r>
        <w:separator/>
      </w:r>
    </w:p>
  </w:footnote>
  <w:footnote w:type="continuationSeparator" w:id="0">
    <w:p w:rsidR="00D769B0" w:rsidRDefault="00D769B0" w:rsidP="00A8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0E" w:rsidRDefault="00AB16DA" w:rsidP="00A85E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74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40E" w:rsidRDefault="0024740E">
    <w:pPr>
      <w:pStyle w:val="Cabealho"/>
      <w:ind w:right="360"/>
    </w:pPr>
  </w:p>
  <w:p w:rsidR="0024740E" w:rsidRDefault="002474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0E" w:rsidRDefault="0024740E">
    <w:pPr>
      <w:pStyle w:val="Cabealho"/>
      <w:ind w:right="360"/>
    </w:pPr>
  </w:p>
  <w:p w:rsidR="0024740E" w:rsidRDefault="002474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CB"/>
    <w:rsid w:val="0000251B"/>
    <w:rsid w:val="00012CEC"/>
    <w:rsid w:val="0003485E"/>
    <w:rsid w:val="00043AB8"/>
    <w:rsid w:val="00055CBB"/>
    <w:rsid w:val="0006463F"/>
    <w:rsid w:val="0007300D"/>
    <w:rsid w:val="000D5897"/>
    <w:rsid w:val="000D5E1B"/>
    <w:rsid w:val="001234EB"/>
    <w:rsid w:val="0014058C"/>
    <w:rsid w:val="00140CDA"/>
    <w:rsid w:val="001873AD"/>
    <w:rsid w:val="0019646D"/>
    <w:rsid w:val="001F7438"/>
    <w:rsid w:val="002029DB"/>
    <w:rsid w:val="00213DEC"/>
    <w:rsid w:val="00224899"/>
    <w:rsid w:val="0024740E"/>
    <w:rsid w:val="00276986"/>
    <w:rsid w:val="00281018"/>
    <w:rsid w:val="002B47C6"/>
    <w:rsid w:val="002C30E7"/>
    <w:rsid w:val="002D6373"/>
    <w:rsid w:val="002F08FB"/>
    <w:rsid w:val="002F1C52"/>
    <w:rsid w:val="00385A9D"/>
    <w:rsid w:val="003A66B7"/>
    <w:rsid w:val="003A7993"/>
    <w:rsid w:val="003B6BA9"/>
    <w:rsid w:val="003C5949"/>
    <w:rsid w:val="003D4C64"/>
    <w:rsid w:val="003E43EA"/>
    <w:rsid w:val="003F695A"/>
    <w:rsid w:val="004174BD"/>
    <w:rsid w:val="004254A4"/>
    <w:rsid w:val="00432A7D"/>
    <w:rsid w:val="00456ED2"/>
    <w:rsid w:val="0048265E"/>
    <w:rsid w:val="004D4188"/>
    <w:rsid w:val="0050661C"/>
    <w:rsid w:val="005079CB"/>
    <w:rsid w:val="00523328"/>
    <w:rsid w:val="005348A9"/>
    <w:rsid w:val="005427DE"/>
    <w:rsid w:val="0055336D"/>
    <w:rsid w:val="00570529"/>
    <w:rsid w:val="00591DD8"/>
    <w:rsid w:val="0059291D"/>
    <w:rsid w:val="005C0BC8"/>
    <w:rsid w:val="005C0FDC"/>
    <w:rsid w:val="005C3AF8"/>
    <w:rsid w:val="005E7A1A"/>
    <w:rsid w:val="005F66EF"/>
    <w:rsid w:val="00607D8C"/>
    <w:rsid w:val="006320E0"/>
    <w:rsid w:val="00666B40"/>
    <w:rsid w:val="006B2AD4"/>
    <w:rsid w:val="006B7B58"/>
    <w:rsid w:val="007169F0"/>
    <w:rsid w:val="00726EC3"/>
    <w:rsid w:val="00777587"/>
    <w:rsid w:val="00786E12"/>
    <w:rsid w:val="00792F04"/>
    <w:rsid w:val="00796409"/>
    <w:rsid w:val="007A5285"/>
    <w:rsid w:val="007B1163"/>
    <w:rsid w:val="007C3763"/>
    <w:rsid w:val="007E43BE"/>
    <w:rsid w:val="007F6C25"/>
    <w:rsid w:val="00800E94"/>
    <w:rsid w:val="00806347"/>
    <w:rsid w:val="00830865"/>
    <w:rsid w:val="00832F9F"/>
    <w:rsid w:val="008707F5"/>
    <w:rsid w:val="0088411C"/>
    <w:rsid w:val="008D22A3"/>
    <w:rsid w:val="00924183"/>
    <w:rsid w:val="009555C1"/>
    <w:rsid w:val="00957CF0"/>
    <w:rsid w:val="009B4A8A"/>
    <w:rsid w:val="009C29B1"/>
    <w:rsid w:val="00A070DD"/>
    <w:rsid w:val="00A85ECB"/>
    <w:rsid w:val="00AB16DA"/>
    <w:rsid w:val="00AB439B"/>
    <w:rsid w:val="00B26EDC"/>
    <w:rsid w:val="00B44A19"/>
    <w:rsid w:val="00B5322A"/>
    <w:rsid w:val="00B57CDF"/>
    <w:rsid w:val="00B76E42"/>
    <w:rsid w:val="00B834F2"/>
    <w:rsid w:val="00BC5F62"/>
    <w:rsid w:val="00BE3825"/>
    <w:rsid w:val="00C17AD4"/>
    <w:rsid w:val="00C17B99"/>
    <w:rsid w:val="00C218D0"/>
    <w:rsid w:val="00C219B4"/>
    <w:rsid w:val="00C54477"/>
    <w:rsid w:val="00C73489"/>
    <w:rsid w:val="00CA1A7B"/>
    <w:rsid w:val="00CF4AAD"/>
    <w:rsid w:val="00D20B94"/>
    <w:rsid w:val="00D72323"/>
    <w:rsid w:val="00D769B0"/>
    <w:rsid w:val="00D779CA"/>
    <w:rsid w:val="00D8084C"/>
    <w:rsid w:val="00DC5506"/>
    <w:rsid w:val="00DF72F1"/>
    <w:rsid w:val="00E17BB8"/>
    <w:rsid w:val="00E241F7"/>
    <w:rsid w:val="00E473D3"/>
    <w:rsid w:val="00E642ED"/>
    <w:rsid w:val="00EC05B2"/>
    <w:rsid w:val="00EC3FD7"/>
    <w:rsid w:val="00ED38EE"/>
    <w:rsid w:val="00EE6362"/>
    <w:rsid w:val="00EF4F1D"/>
    <w:rsid w:val="00F16B76"/>
    <w:rsid w:val="00F56077"/>
    <w:rsid w:val="00F81FCC"/>
    <w:rsid w:val="00F9554D"/>
    <w:rsid w:val="00FA009E"/>
    <w:rsid w:val="00FA22FA"/>
    <w:rsid w:val="00FC41F7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0DBB8-0B46-48A7-B6F9-2844EBBF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85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link w:val="Rodap"/>
    <w:semiHidden/>
    <w:rsid w:val="00A85E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A85ECB"/>
  </w:style>
  <w:style w:type="paragraph" w:customStyle="1" w:styleId="01-Minuta-CLG">
    <w:name w:val="01 - Minuta - CLG"/>
    <w:link w:val="01-Minuta-CLGChar"/>
    <w:rsid w:val="00A85ECB"/>
    <w:pPr>
      <w:spacing w:after="180"/>
      <w:jc w:val="center"/>
    </w:pPr>
    <w:rPr>
      <w:rFonts w:ascii="Times New Roman" w:eastAsia="Times New Roman" w:hAnsi="Times New Roman"/>
      <w:sz w:val="24"/>
    </w:rPr>
  </w:style>
  <w:style w:type="paragraph" w:customStyle="1" w:styleId="02-TtuloPrincipal-CLG">
    <w:name w:val="02 - Título Principal - CLG"/>
    <w:link w:val="02-TtuloPrincipal-CLGChar"/>
    <w:rsid w:val="00A85ECB"/>
    <w:pPr>
      <w:spacing w:after="960"/>
      <w:jc w:val="center"/>
    </w:pPr>
    <w:rPr>
      <w:rFonts w:ascii="Times New Roman" w:eastAsia="Times New Roman" w:hAnsi="Times New Roman"/>
      <w:b/>
      <w:bCs/>
      <w:sz w:val="32"/>
    </w:rPr>
  </w:style>
  <w:style w:type="paragraph" w:customStyle="1" w:styleId="03-Ementa-CLG">
    <w:name w:val="03 - Ementa - CLG"/>
    <w:link w:val="03-Ementa-CLGCharChar"/>
    <w:rsid w:val="00A85ECB"/>
    <w:pPr>
      <w:spacing w:after="960"/>
      <w:ind w:left="3686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03-Ementa-CLGCharChar">
    <w:name w:val="03 - Ementa - CLG Char Char"/>
    <w:link w:val="03-Ementa-CLG"/>
    <w:rsid w:val="00A85ECB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A85ECB"/>
    <w:pPr>
      <w:spacing w:after="960"/>
      <w:ind w:left="1440"/>
    </w:pPr>
    <w:rPr>
      <w:rFonts w:ascii="Times New Roman" w:eastAsia="Times New Roman" w:hAnsi="Times New Roman"/>
      <w:sz w:val="28"/>
    </w:rPr>
  </w:style>
  <w:style w:type="paragraph" w:customStyle="1" w:styleId="05-Subttulo-CLG">
    <w:name w:val="05 - Subtítulo - CLG"/>
    <w:link w:val="05-Subttulo-CLGChar"/>
    <w:rsid w:val="00A85ECB"/>
    <w:pPr>
      <w:spacing w:after="480"/>
      <w:jc w:val="both"/>
    </w:pPr>
    <w:rPr>
      <w:rFonts w:ascii="Times New Roman" w:eastAsia="Times New Roman" w:hAnsi="Times New Roman"/>
      <w:b/>
      <w:bCs/>
      <w:sz w:val="28"/>
    </w:rPr>
  </w:style>
  <w:style w:type="paragraph" w:customStyle="1" w:styleId="06-Pargrafodetexto-CLG">
    <w:name w:val="06 - Parágrafo de texto - CLG"/>
    <w:link w:val="06-Pargrafodetexto-CLGChar"/>
    <w:rsid w:val="00A85ECB"/>
    <w:pPr>
      <w:spacing w:after="360"/>
      <w:ind w:firstLine="1418"/>
      <w:jc w:val="both"/>
    </w:pPr>
    <w:rPr>
      <w:rFonts w:ascii="Times New Roman" w:eastAsia="Times New Roman" w:hAnsi="Times New Roman"/>
      <w:sz w:val="28"/>
    </w:rPr>
  </w:style>
  <w:style w:type="character" w:customStyle="1" w:styleId="01-Minuta-CLGChar">
    <w:name w:val="01 - Minuta - CLG Char"/>
    <w:link w:val="01-Minuta-CLG"/>
    <w:rsid w:val="00A85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0-Local-CLG">
    <w:name w:val="10 - Local - CLG"/>
    <w:link w:val="10-Local-CLGChar"/>
    <w:rsid w:val="00A85ECB"/>
    <w:pPr>
      <w:spacing w:before="960" w:after="720"/>
      <w:ind w:firstLine="2520"/>
      <w:jc w:val="both"/>
    </w:pPr>
    <w:rPr>
      <w:rFonts w:ascii="Times New Roman" w:eastAsia="Times New Roman" w:hAnsi="Times New Roman"/>
      <w:sz w:val="28"/>
    </w:rPr>
  </w:style>
  <w:style w:type="paragraph" w:customStyle="1" w:styleId="11-Assinaturas-CLG">
    <w:name w:val="11 - Assinaturas - CLG"/>
    <w:link w:val="11-Assinaturas-CLGChar"/>
    <w:rsid w:val="00A85ECB"/>
    <w:pPr>
      <w:spacing w:after="960"/>
      <w:ind w:left="6240"/>
      <w:jc w:val="both"/>
    </w:pPr>
    <w:rPr>
      <w:rFonts w:ascii="Times New Roman" w:eastAsia="Times New Roman" w:hAnsi="Times New Roman"/>
      <w:sz w:val="28"/>
    </w:rPr>
  </w:style>
  <w:style w:type="character" w:customStyle="1" w:styleId="02-TtuloPrincipal-CLGChar">
    <w:name w:val="02 - Título Principal - CLG Char"/>
    <w:link w:val="02-TtuloPrincipal-CLG"/>
    <w:rsid w:val="00A85ECB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04-Relatoria-CLGChar">
    <w:name w:val="04 - Relatoria - CLG Char"/>
    <w:link w:val="04-Relatoria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5-Subttulo-CLGChar">
    <w:name w:val="05 - Subtítulo - CLG Char"/>
    <w:link w:val="05-Subttulo-CLG"/>
    <w:rsid w:val="00A85EC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06-Pargrafodetexto-CLGChar">
    <w:name w:val="06 - Parágrafo de texto - CLG Char"/>
    <w:link w:val="06-Pargrafodetexto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0-Local-CLGChar">
    <w:name w:val="10 - Local - CLG Char"/>
    <w:link w:val="10-Local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11-Assinaturas-CLGChar">
    <w:name w:val="11 - Assinaturas - CLG Char"/>
    <w:link w:val="11-Assinaturas-CLG"/>
    <w:rsid w:val="00A85E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Citaolegal-CLG">
    <w:name w:val="07 - Citação legal - CLG"/>
    <w:rsid w:val="00A85ECB"/>
    <w:pPr>
      <w:spacing w:after="120"/>
      <w:ind w:left="1985" w:firstLine="567"/>
      <w:jc w:val="both"/>
    </w:pPr>
    <w:rPr>
      <w:rFonts w:ascii="Times New Roman" w:eastAsia="Times New Roman" w:hAnsi="Times New Roman"/>
      <w:bCs/>
      <w:sz w:val="24"/>
    </w:rPr>
  </w:style>
  <w:style w:type="paragraph" w:customStyle="1" w:styleId="08-Citaolegal-ltimalinha-CLG">
    <w:name w:val="08 - Citação legal - última linha - CLG"/>
    <w:rsid w:val="00A85ECB"/>
    <w:pPr>
      <w:spacing w:after="480"/>
      <w:ind w:left="1985"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09-Ttuloemenda-CLG">
    <w:name w:val="09 - Título emenda - CLG"/>
    <w:rsid w:val="00A85ECB"/>
    <w:pPr>
      <w:spacing w:before="480" w:after="360"/>
      <w:jc w:val="center"/>
    </w:pPr>
    <w:rPr>
      <w:rFonts w:ascii="Times New Roman" w:eastAsia="Times New Roman" w:hAnsi="Times New Roman"/>
      <w:b/>
      <w:bCs/>
      <w:spacing w:val="-4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DF0286-27CD-4116-9A7D-03A8E46F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CONLEG - Consultoria Legislativa do Senado Federal</dc:creator>
  <cp:keywords/>
  <cp:lastModifiedBy>Maria José Gomes Mello Ribeiro</cp:lastModifiedBy>
  <cp:revision>2</cp:revision>
  <dcterms:created xsi:type="dcterms:W3CDTF">2015-10-22T11:16:00Z</dcterms:created>
  <dcterms:modified xsi:type="dcterms:W3CDTF">2015-10-22T11:16:00Z</dcterms:modified>
</cp:coreProperties>
</file>