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CB" w:rsidRDefault="00C218D0" w:rsidP="00A85ECB">
      <w:pPr>
        <w:pStyle w:val="02-TtuloPrincipal-CLG"/>
      </w:pPr>
      <w:r>
        <w:rPr>
          <w:caps/>
        </w:rPr>
        <w:t>Parecer</w:t>
      </w:r>
      <w:r w:rsidR="00A85ECB">
        <w:t xml:space="preserve"> </w:t>
      </w:r>
      <w:proofErr w:type="gramStart"/>
      <w:r w:rsidR="00A85ECB">
        <w:t>Nº       ,</w:t>
      </w:r>
      <w:proofErr w:type="gramEnd"/>
      <w:r w:rsidR="00A85ECB">
        <w:t xml:space="preserve"> DE 2015</w:t>
      </w:r>
    </w:p>
    <w:p w:rsidR="00A85ECB" w:rsidRDefault="00C218D0" w:rsidP="00A85ECB">
      <w:pPr>
        <w:pStyle w:val="03-Ementa-CLG"/>
      </w:pPr>
      <w:r>
        <w:t xml:space="preserve">Da COMISSÃO DE DIREITOS HUMANOS E LEGISLAÇÃO PARTICIPATIVA, em decisão terminativa, sobre o Projeto de Lei do Senado (PLS) nº 650, de 2011, do Senador Humberto Costa, que </w:t>
      </w:r>
      <w:r>
        <w:rPr>
          <w:i/>
        </w:rPr>
        <w:t>altera o parágrafo único do art. 73 da Lei nº 11.977, de 7 de julho de 2009, para tornar obrigatório, no âmbito do Programa Minha Casa Minha Vida - PMCMV, o atendimento de demandas de acessibilidade por parte de beneficiários idosos ou com deficiência</w:t>
      </w:r>
      <w:r>
        <w:t>.</w:t>
      </w:r>
    </w:p>
    <w:p w:rsidR="00400F63" w:rsidRPr="00400F63" w:rsidRDefault="00C218D0" w:rsidP="00400F63">
      <w:pPr>
        <w:pStyle w:val="04-Relatoria-CLG"/>
        <w:rPr>
          <w:b/>
          <w:caps/>
        </w:rPr>
      </w:pPr>
      <w:r>
        <w:t xml:space="preserve">Relator: Senador </w:t>
      </w:r>
      <w:r>
        <w:rPr>
          <w:b/>
          <w:caps/>
        </w:rPr>
        <w:t>Paulo Paim</w:t>
      </w:r>
    </w:p>
    <w:p w:rsidR="00A85ECB" w:rsidRDefault="00A85ECB" w:rsidP="00A85ECB">
      <w:pPr>
        <w:pStyle w:val="05-Subttulo-CLG"/>
      </w:pPr>
      <w:r>
        <w:t>I – RELATÓRIO</w:t>
      </w:r>
    </w:p>
    <w:p w:rsidR="00816C6D" w:rsidRDefault="00816C6D" w:rsidP="00816C6D">
      <w:pPr>
        <w:pStyle w:val="06-Pargrafodetexto-CLG"/>
      </w:pPr>
      <w:r>
        <w:t>A Comissão de Direitos Humanos e Legislação Participativa (CDH) examina o Projeto de Lei do Senado (PLS) nº 650, de 2011, de autoria do Senador Humberto Costa, que</w:t>
      </w:r>
      <w:r w:rsidRPr="008C6F0F">
        <w:t xml:space="preserve"> </w:t>
      </w:r>
      <w:r>
        <w:t xml:space="preserve">tem por finalidade garantir a adequação das unidades habitacionais construídas no âmbito do </w:t>
      </w:r>
      <w:r w:rsidRPr="00BD74EA">
        <w:t>Programa Minha Casa Minha Vida</w:t>
      </w:r>
      <w:r>
        <w:t xml:space="preserve"> (</w:t>
      </w:r>
      <w:r w:rsidRPr="00BD74EA">
        <w:t>PMCMV</w:t>
      </w:r>
      <w:r>
        <w:t>) às necessidades dos adquirentes</w:t>
      </w:r>
      <w:r w:rsidRPr="00BD74EA">
        <w:t xml:space="preserve"> idosos ou com deficiência</w:t>
      </w:r>
      <w:r>
        <w:t>. Para esse efeito, acrescenta novo parágrafo ao art. 73 da Lei nº 11.977, de 7 de julho de 2009, que dispõe sobre o PMCMV, determinando que os construtores desses imóveis promovam as adaptações necessárias, quando demandados.</w:t>
      </w:r>
    </w:p>
    <w:p w:rsidR="00816C6D" w:rsidRDefault="00816C6D" w:rsidP="00816C6D">
      <w:pPr>
        <w:pStyle w:val="06-Pargrafodetexto-CLG"/>
      </w:pPr>
      <w:r>
        <w:t>Ao justificar sua iniciativa, o autor menciona a obrigatoriedade de que 3% dos imóveis construídos no âmbito do PMCMV sejam adaptados ao uso por pessoas com deficiência. Considera, todavia, insuficiente esse percentual, dado que aproximadamente 10% da população brasileira têm alguma deficiência e que os idosos também podem necessitar de adaptações.</w:t>
      </w:r>
    </w:p>
    <w:p w:rsidR="00816C6D" w:rsidRDefault="00816C6D" w:rsidP="00816C6D">
      <w:pPr>
        <w:pStyle w:val="06-Pargrafodetexto-CLG"/>
      </w:pPr>
      <w:r>
        <w:lastRenderedPageBreak/>
        <w:t>A proposição já foi apreciada pela Comissão de Desenvolvimento Regional e Turismo (CDR), que a aprovou. Vem à análise da CDH em caráter terminativo.</w:t>
      </w:r>
    </w:p>
    <w:p w:rsidR="00400F63" w:rsidRDefault="00816C6D" w:rsidP="00400F63">
      <w:pPr>
        <w:pStyle w:val="06-Pargrafodetexto-CLG"/>
      </w:pPr>
      <w:r>
        <w:t>Não foram recebidas emendas.</w:t>
      </w:r>
    </w:p>
    <w:p w:rsidR="00A85ECB" w:rsidRPr="005523B9" w:rsidRDefault="00A85ECB" w:rsidP="00A85ECB">
      <w:pPr>
        <w:pStyle w:val="05-Subttulo-CLG"/>
      </w:pPr>
      <w:r w:rsidRPr="005523B9">
        <w:t>II – ANÁLISE</w:t>
      </w:r>
    </w:p>
    <w:p w:rsidR="00816C6D" w:rsidRDefault="00816C6D" w:rsidP="00816C6D">
      <w:pPr>
        <w:pStyle w:val="06-Pargrafodetexto-CLG"/>
      </w:pPr>
      <w:r>
        <w:t xml:space="preserve">Nos termos do art. 102-E, incisos III e VI, do Regimento Interno do Senado Federal, compete à CDH opinar acerca de matérias que versem </w:t>
      </w:r>
      <w:r w:rsidRPr="00C267DA">
        <w:t>sobre</w:t>
      </w:r>
      <w:r>
        <w:t xml:space="preserve"> garantia e promoção dos direitos humanos e </w:t>
      </w:r>
      <w:r w:rsidRPr="00C267DA">
        <w:t>sobre</w:t>
      </w:r>
      <w:r>
        <w:t xml:space="preserve"> proteção e integração social das pessoas com deficiência e dos idosos.</w:t>
      </w:r>
    </w:p>
    <w:p w:rsidR="00816C6D" w:rsidRDefault="00816C6D" w:rsidP="00816C6D">
      <w:pPr>
        <w:pStyle w:val="06-Pargrafodetexto-CLG"/>
      </w:pPr>
      <w:r>
        <w:t>Tratando-se de análise em caráter terminativo, devemos mencionar que não identificamos vícios que comprometam a constitucionalidade ou a juridicidade da proposição.</w:t>
      </w:r>
    </w:p>
    <w:p w:rsidR="00816C6D" w:rsidRDefault="00816C6D" w:rsidP="00816C6D">
      <w:pPr>
        <w:pStyle w:val="06-Pargrafodetexto-CLG"/>
      </w:pPr>
      <w:r>
        <w:t>No tocante ao mérito, importa dizer que, apesar de termos avançado bastante na via da inclusão nos últimos anos, ainda são enormes as dificuldades encontradas por pessoas com deficiência e por idosos para gozar de autonomia, conforto e liberdade, mesmo nos próprios lares, devido à inadequação de estruturas e equipamentos.</w:t>
      </w:r>
    </w:p>
    <w:p w:rsidR="00816C6D" w:rsidRDefault="00816C6D" w:rsidP="00816C6D">
      <w:pPr>
        <w:pStyle w:val="06-Pargrafodetexto-CLG"/>
      </w:pPr>
      <w:r>
        <w:t>O PMCMV atende à população de baixa renda, que carece de recursos suficientes para adquirir ajudas ou promover obras que favoreçam a acessibilidade. Os idosos e as pessoas com deficiência beneficiários do programa precisam de residências funcionais, adequadas à suas necessidades.</w:t>
      </w:r>
    </w:p>
    <w:p w:rsidR="00816C6D" w:rsidRDefault="00816C6D" w:rsidP="00816C6D">
      <w:pPr>
        <w:pStyle w:val="06-Pargrafodetexto-CLG"/>
      </w:pPr>
      <w:r>
        <w:t>O art. 73, parágrafo único, da Lei nº 11.977, de 7 de julho de 2009, determina que, no mínimo, 3% das unidades habitacionais construídas no âmbito do PMCMV em cada município sejam adaptadas ao uso por pessoas com deficiência.</w:t>
      </w:r>
    </w:p>
    <w:p w:rsidR="00816C6D" w:rsidRDefault="00816C6D" w:rsidP="00816C6D">
      <w:pPr>
        <w:pStyle w:val="06-Pargrafodetexto-CLG"/>
      </w:pPr>
      <w:r>
        <w:t>O PLS nº 650, de 2011, prevê que, sem prejuízo desses 3%, construtores deverão promover adaptações necessárias à garantia das condições de acessibilidade solicitadas por beneficiário idoso ou com deficiência.</w:t>
      </w:r>
    </w:p>
    <w:p w:rsidR="00816C6D" w:rsidRDefault="00816C6D" w:rsidP="00816C6D">
      <w:pPr>
        <w:pStyle w:val="06-Pargrafodetexto-CLG"/>
      </w:pPr>
      <w:r>
        <w:lastRenderedPageBreak/>
        <w:t>Seria ideal se todas as residências fossem acessíveis, mas estamos cientes de que a maneira mais razoável de promover a inclusão é progredir paulatinamente nesse caminho. A proposição ora examinada oferece uma solução que nos parece razoável, obrigando os construtores a promover as alterações necessárias, quando isso for demandado por pessoas idosas ou com deficiência.</w:t>
      </w:r>
    </w:p>
    <w:p w:rsidR="00816C6D" w:rsidRDefault="00816C6D" w:rsidP="00816C6D">
      <w:pPr>
        <w:pStyle w:val="06-Pargrafodetexto-CLG"/>
      </w:pPr>
      <w:r>
        <w:t>É pertinente mencionar que foi sancionada, recentemente, após longa tramitação, a Lei nº 13.146, conhecida como Estatuto da Pessoa com Deficiência. O inciso II do seu art. art. 32, que foi objeto de veto presidencial, previa adoção dos princípios do desenho universal nos programas habitacionais públicos ou subsidiados com recursos públicos – ou seja, acessibilidade generalizada, que seria o ideal para pessoas com de</w:t>
      </w:r>
      <w:r w:rsidR="00470EB7">
        <w:t>ficiência ou mobilidade reduzida</w:t>
      </w:r>
      <w:r>
        <w:t xml:space="preserve">. Além disso, </w:t>
      </w:r>
      <w:r w:rsidR="00470EB7">
        <w:t xml:space="preserve">os dispositivos que não foram vetados estabelecem: </w:t>
      </w:r>
      <w:r>
        <w:t xml:space="preserve">I – reserva de 3% das unidades para </w:t>
      </w:r>
      <w:r w:rsidR="00470EB7">
        <w:t>pessoas com deficiência</w:t>
      </w:r>
      <w:r>
        <w:t>;</w:t>
      </w:r>
      <w:r w:rsidRPr="00D045F6">
        <w:t xml:space="preserve"> </w:t>
      </w:r>
      <w:r w:rsidRPr="00816C6D">
        <w:t xml:space="preserve">III </w:t>
      </w:r>
      <w:r w:rsidR="00470EB7">
        <w:t>–</w:t>
      </w:r>
      <w:r w:rsidRPr="00816C6D">
        <w:t xml:space="preserve"> em caso de edificação multifamiliar, garantia de acessibilidade nas áreas de uso comum e nas unidades habitacionais no piso térreo e de acessibilidade ou de adaptação razoável nos demais pisos;</w:t>
      </w:r>
      <w:r>
        <w:t xml:space="preserve"> </w:t>
      </w:r>
      <w:r w:rsidRPr="00816C6D">
        <w:t xml:space="preserve">IV </w:t>
      </w:r>
      <w:r w:rsidR="00470EB7">
        <w:t>–</w:t>
      </w:r>
      <w:r w:rsidRPr="00816C6D">
        <w:t xml:space="preserve"> disponibilização de equipamentos urbanos comunitários acessíveis; V </w:t>
      </w:r>
      <w:r w:rsidR="00470EB7">
        <w:t>–</w:t>
      </w:r>
      <w:r w:rsidRPr="00816C6D">
        <w:t xml:space="preserve"> elaboração de especificações técnicas no projeto que permi</w:t>
      </w:r>
      <w:r w:rsidR="00470EB7">
        <w:t>tam a instalação de elevadores.</w:t>
      </w:r>
    </w:p>
    <w:p w:rsidR="00470EB7" w:rsidRDefault="00470EB7" w:rsidP="00816C6D">
      <w:pPr>
        <w:pStyle w:val="06-Pargrafodetexto-CLG"/>
      </w:pPr>
      <w:r>
        <w:t>Essas alterações, que entram em vigor no início de janeiro de 2016, são meritórias e complementares às disposições da Lei nº 11.977, de 7 de julho de 2009. Mas é necessário avançar ainda mais, pois a reserva de 3% de unidades acessíveis está muito aquém do percentual de pessoas com deficiência identificado pelo Instituto Brasileiro de Geografia e Estatística, no seu último senso, que chega a 23,9% da população. Ademais, a garantia de acessibilidade nas áreas comuns não atende plenamente ao imperativo de eliminar as barreiras existentes. Sem a generalização da acessibilidade, as pessoas com deficiência ou com mobilidade reduzida estão sujeitas a encontrar barreiras ao frequentar as casas de outras pessoas, inclusive seus parentes e amigos, perpetuando-se esse fator de exclusão.</w:t>
      </w:r>
      <w:r w:rsidR="00A819D0">
        <w:t xml:space="preserve"> Sem a eliminação das barreiras, até uma pessoa que tenha redução temporária de sua mobilidade, por acidente ou enfermidade, pode ter dificuldades na própria casa. Trata-se, portanto, em primeiro lugar, de uma mudança de </w:t>
      </w:r>
      <w:r w:rsidR="007A3F74">
        <w:t xml:space="preserve">cultura </w:t>
      </w:r>
      <w:r w:rsidR="00A819D0">
        <w:t>para que tenhamos a inclusão e a eliminação de barreiras sempre em mente.</w:t>
      </w:r>
    </w:p>
    <w:p w:rsidR="00470EB7" w:rsidRPr="00D045F6" w:rsidRDefault="00470EB7" w:rsidP="00470EB7">
      <w:pPr>
        <w:pStyle w:val="06-Pargrafodetexto-CLG"/>
      </w:pPr>
      <w:r>
        <w:lastRenderedPageBreak/>
        <w:t>Seria importante derrubar o veto ao</w:t>
      </w:r>
      <w:r w:rsidR="00A819D0">
        <w:t xml:space="preserve"> inciso II do art. 32 do Estatuto da Pessoa com Deficiência, para estender </w:t>
      </w:r>
      <w:r>
        <w:t xml:space="preserve">o desenho universal </w:t>
      </w:r>
      <w:r w:rsidR="00A819D0">
        <w:t xml:space="preserve">a </w:t>
      </w:r>
      <w:r>
        <w:t xml:space="preserve">todas as </w:t>
      </w:r>
      <w:r w:rsidR="00A819D0">
        <w:t xml:space="preserve">novas </w:t>
      </w:r>
      <w:r>
        <w:t xml:space="preserve">unidades, eliminando barreiras enfrentadas pelas pessoas com deficiência ou com mobilidade reduzida tanto nas suas residências como em quaisquer outras que possam frequentar. </w:t>
      </w:r>
      <w:r w:rsidR="00A819D0">
        <w:t xml:space="preserve">O PLS nº 650, de </w:t>
      </w:r>
      <w:r w:rsidR="007A3F74">
        <w:t>2011</w:t>
      </w:r>
      <w:r w:rsidR="00A819D0">
        <w:t xml:space="preserve">, </w:t>
      </w:r>
      <w:r>
        <w:t>é complementar</w:t>
      </w:r>
      <w:r w:rsidR="00A819D0">
        <w:t xml:space="preserve"> à</w:t>
      </w:r>
      <w:r w:rsidR="007A3F74">
        <w:t>s</w:t>
      </w:r>
      <w:r w:rsidR="00A819D0">
        <w:t xml:space="preserve"> disposições vigentes e às que entrarão em vigor em janeiro de 2016</w:t>
      </w:r>
      <w:r>
        <w:t xml:space="preserve">, pois enquanto </w:t>
      </w:r>
      <w:r w:rsidR="00A819D0">
        <w:t xml:space="preserve">o Estatuto da Pessoa com Deficiência </w:t>
      </w:r>
      <w:r>
        <w:t>garant</w:t>
      </w:r>
      <w:r w:rsidR="00A819D0">
        <w:t xml:space="preserve">irá acessibilidade nas unidades </w:t>
      </w:r>
      <w:r>
        <w:t xml:space="preserve">que forem construídas futuramente, </w:t>
      </w:r>
      <w:r w:rsidR="00A819D0">
        <w:t xml:space="preserve">a proposição ora examinada estabelece o </w:t>
      </w:r>
      <w:r>
        <w:t>direito de pedir adaptações nas que já estão prontas.</w:t>
      </w:r>
    </w:p>
    <w:p w:rsidR="00816C6D" w:rsidRDefault="00A819D0" w:rsidP="00816C6D">
      <w:pPr>
        <w:pStyle w:val="06-Pargrafodetexto-CLG"/>
      </w:pPr>
      <w:r>
        <w:t>Feitas essas observações</w:t>
      </w:r>
      <w:r w:rsidR="00816C6D">
        <w:t xml:space="preserve">, </w:t>
      </w:r>
      <w:r>
        <w:t xml:space="preserve">vemos necessidade de </w:t>
      </w:r>
      <w:r w:rsidR="00816C6D">
        <w:t xml:space="preserve">alterar ligeiramente o texto da proposição, para esclarecer que as adaptações devem ser </w:t>
      </w:r>
      <w:r w:rsidR="008A5291">
        <w:t xml:space="preserve">solicitadas </w:t>
      </w:r>
      <w:r w:rsidR="00816C6D">
        <w:t>até a formalização do contrato de compra e venda, dado que a dinâmica de contratações e de construção de unidades habitacionais do PMCMV não permite antever essa demanda durante as fases iniciais dos empreendimentos</w:t>
      </w:r>
      <w:r>
        <w:t xml:space="preserve">, e para não criar a insegurança de obrigações </w:t>
      </w:r>
      <w:r>
        <w:rPr>
          <w:i/>
        </w:rPr>
        <w:t xml:space="preserve">ad </w:t>
      </w:r>
      <w:proofErr w:type="spellStart"/>
      <w:r>
        <w:rPr>
          <w:i/>
        </w:rPr>
        <w:t>eternum</w:t>
      </w:r>
      <w:proofErr w:type="spellEnd"/>
      <w:r>
        <w:rPr>
          <w:i/>
        </w:rPr>
        <w:t xml:space="preserve"> </w:t>
      </w:r>
      <w:r>
        <w:t>para as construtoras</w:t>
      </w:r>
      <w:r w:rsidR="00816C6D">
        <w:t>. Também propomos explicitar que essa obrigação de promover adaptações de acessibilidade é aplicável quando for demandada por idosos ou pessoas com deficiência de baixa renda, tendo em vista que a imposição dessa obrigação em todos os casos poderia onerar excessivamente o valor das unidades habitacionais incluídas no PMCMV, prejudicando desproporcionalmente os mais carentes.</w:t>
      </w:r>
    </w:p>
    <w:p w:rsidR="00400F63" w:rsidRPr="00433B79" w:rsidRDefault="00816C6D" w:rsidP="00400F63">
      <w:pPr>
        <w:pStyle w:val="06-Pargrafodetexto-CLG"/>
      </w:pPr>
      <w:r>
        <w:t>Esperamos que essa medida seja recebida como um estímulo à construção generalizada de residências acessíveis, desde a fase de projeto, para prevenir os custos mais altos de adaptar um imóvel já construído e para que os idosos e as pessoas com deficiência encontrem cada vez menos obstáculos, seja como moradores, seja como visitantes.</w:t>
      </w:r>
    </w:p>
    <w:p w:rsidR="00A85ECB" w:rsidRDefault="00A85ECB" w:rsidP="00A85ECB">
      <w:pPr>
        <w:pStyle w:val="05-Subttulo-CLG"/>
      </w:pPr>
      <w:r>
        <w:t>III – VOTO</w:t>
      </w:r>
    </w:p>
    <w:p w:rsidR="00747937" w:rsidRDefault="00816C6D" w:rsidP="00400F63">
      <w:pPr>
        <w:pStyle w:val="06-Pargrafodetexto-CLG"/>
      </w:pPr>
      <w:r>
        <w:t>Em razão do que foi exposto, vot</w:t>
      </w:r>
      <w:r w:rsidR="00FD7890">
        <w:t>am</w:t>
      </w:r>
      <w:r>
        <w:t>o</w:t>
      </w:r>
      <w:r w:rsidR="00FD7890">
        <w:t>s</w:t>
      </w:r>
      <w:r>
        <w:t xml:space="preserve"> pela constitucionalidade, juridicidade, </w:t>
      </w:r>
      <w:proofErr w:type="spellStart"/>
      <w:r>
        <w:t>regimentalidade</w:t>
      </w:r>
      <w:proofErr w:type="spellEnd"/>
      <w:r>
        <w:t xml:space="preserve"> e, no mérito, pela </w:t>
      </w:r>
      <w:r w:rsidRPr="005873FB">
        <w:rPr>
          <w:b/>
        </w:rPr>
        <w:t>aprovação</w:t>
      </w:r>
      <w:r>
        <w:t xml:space="preserve"> do Projeto de Lei do Senado nº 650, de 2011, sob a forma da seguinte emenda:</w:t>
      </w:r>
    </w:p>
    <w:p w:rsidR="00816C6D" w:rsidRDefault="00816C6D" w:rsidP="00816C6D">
      <w:pPr>
        <w:pStyle w:val="Ttulo1"/>
      </w:pPr>
      <w:r>
        <w:lastRenderedPageBreak/>
        <w:t>EMENDA nº – CDH (SUBSTITUTIVO)</w:t>
      </w:r>
    </w:p>
    <w:p w:rsidR="00816C6D" w:rsidRDefault="00816C6D" w:rsidP="00816C6D">
      <w:pPr>
        <w:pStyle w:val="Ttulo1"/>
      </w:pPr>
      <w:r>
        <w:t>PROJETO DE LEI DO SENADO Nº 650, DE 2011</w:t>
      </w:r>
    </w:p>
    <w:p w:rsidR="00816C6D" w:rsidRDefault="00816C6D" w:rsidP="00816C6D">
      <w:pPr>
        <w:ind w:firstLine="1418"/>
        <w:jc w:val="both"/>
        <w:rPr>
          <w:sz w:val="28"/>
        </w:rPr>
      </w:pPr>
    </w:p>
    <w:p w:rsidR="00816C6D" w:rsidRDefault="00816C6D" w:rsidP="00816C6D">
      <w:pPr>
        <w:ind w:firstLine="1418"/>
        <w:jc w:val="both"/>
        <w:rPr>
          <w:sz w:val="28"/>
        </w:rPr>
      </w:pPr>
    </w:p>
    <w:p w:rsidR="00816C6D" w:rsidRDefault="00816C6D" w:rsidP="00816C6D">
      <w:pPr>
        <w:pStyle w:val="Recuodecorpodetexto21"/>
        <w:rPr>
          <w:szCs w:val="24"/>
        </w:rPr>
      </w:pPr>
      <w:bookmarkStart w:id="0" w:name="_GoBack"/>
      <w:bookmarkEnd w:id="0"/>
    </w:p>
    <w:p w:rsidR="00816C6D" w:rsidRPr="008F25E8" w:rsidRDefault="00816C6D" w:rsidP="00816C6D">
      <w:pPr>
        <w:pStyle w:val="03-Ementa-CLG"/>
      </w:pPr>
      <w:r w:rsidRPr="008F25E8">
        <w:t>Altera o parágrafo único do art. 73 da Lei</w:t>
      </w:r>
      <w:r>
        <w:t> </w:t>
      </w:r>
      <w:r w:rsidRPr="008F25E8">
        <w:t>nº</w:t>
      </w:r>
      <w:r>
        <w:t> </w:t>
      </w:r>
      <w:r w:rsidRPr="008F25E8">
        <w:t>11.977, de 7 de julho de 2009, para tornar obrigatóri</w:t>
      </w:r>
      <w:r>
        <w:t xml:space="preserve">o, no âmbito do Programa Minha Casa Minha Vida (PMCMV), </w:t>
      </w:r>
      <w:r w:rsidRPr="008F25E8">
        <w:t>o atendimento de demandas de acessibilidade por parte de</w:t>
      </w:r>
      <w:r>
        <w:t xml:space="preserve"> beneficiários</w:t>
      </w:r>
      <w:r w:rsidRPr="008F25E8">
        <w:t xml:space="preserve"> idosos </w:t>
      </w:r>
      <w:r>
        <w:t>ou</w:t>
      </w:r>
      <w:r w:rsidRPr="008F25E8">
        <w:t xml:space="preserve"> com deficiência.</w:t>
      </w:r>
    </w:p>
    <w:p w:rsidR="00816C6D" w:rsidRDefault="00816C6D" w:rsidP="00816C6D">
      <w:pPr>
        <w:pStyle w:val="05-Pargrafodetexto-CLG"/>
      </w:pPr>
      <w:r>
        <w:t>O CONGRESSO NACIONAL decreta:</w:t>
      </w:r>
    </w:p>
    <w:p w:rsidR="00816C6D" w:rsidRDefault="00816C6D" w:rsidP="00816C6D">
      <w:pPr>
        <w:pStyle w:val="05-Pargrafodetexto-CLG"/>
      </w:pPr>
      <w:bookmarkStart w:id="1" w:name="art73p"/>
      <w:bookmarkEnd w:id="1"/>
      <w:r>
        <w:rPr>
          <w:b/>
        </w:rPr>
        <w:t>Art. 1º</w:t>
      </w:r>
      <w:r>
        <w:t xml:space="preserve"> O art. 73 da Lei nº 11.977, de 7 de julho de 2009, passa a vigorar acrescido do seguinte § 2º, renumerando-se como § 1º o parágrafo único existente:</w:t>
      </w:r>
    </w:p>
    <w:p w:rsidR="00816C6D" w:rsidRDefault="00816C6D" w:rsidP="00816C6D">
      <w:pPr>
        <w:pStyle w:val="07-Citaolegal-CLG"/>
      </w:pPr>
      <w:r>
        <w:t>“</w:t>
      </w:r>
      <w:r>
        <w:rPr>
          <w:b/>
        </w:rPr>
        <w:t>Art. 73.</w:t>
      </w:r>
      <w:r w:rsidRPr="008A23D6">
        <w:t xml:space="preserve"> </w:t>
      </w:r>
      <w:r w:rsidRPr="00A85655">
        <w:t>...................................................................................</w:t>
      </w:r>
    </w:p>
    <w:p w:rsidR="00816C6D" w:rsidRDefault="00816C6D" w:rsidP="00816C6D">
      <w:pPr>
        <w:pStyle w:val="07-Citaolegal-CLG"/>
      </w:pPr>
      <w:r>
        <w:t>...................................................................................................</w:t>
      </w:r>
    </w:p>
    <w:p w:rsidR="00816C6D" w:rsidRPr="00066D7D" w:rsidRDefault="00816C6D" w:rsidP="00816C6D">
      <w:pPr>
        <w:pStyle w:val="08-Citaolegal-ltimalinha-CLG"/>
        <w:rPr>
          <w:szCs w:val="24"/>
        </w:rPr>
      </w:pPr>
      <w:r>
        <w:t xml:space="preserve">§ 2º </w:t>
      </w:r>
      <w:r w:rsidR="008A5291" w:rsidRPr="00CB56B9">
        <w:t>Sem prejuízo do cumprimento do disposto no § 1º, ficam os construtores obrigados a promover</w:t>
      </w:r>
      <w:r w:rsidR="008A5291" w:rsidRPr="00023556">
        <w:t xml:space="preserve"> </w:t>
      </w:r>
      <w:r w:rsidR="008A5291">
        <w:t>as adaptações</w:t>
      </w:r>
      <w:r w:rsidR="008A5291" w:rsidRPr="00CB56B9">
        <w:t xml:space="preserve"> </w:t>
      </w:r>
      <w:r w:rsidR="008A5291">
        <w:t>necessárias à garantia de condições de</w:t>
      </w:r>
      <w:r w:rsidR="008A5291" w:rsidRPr="00CB56B9">
        <w:t xml:space="preserve"> acessibilidade</w:t>
      </w:r>
      <w:r w:rsidR="008A5291" w:rsidRPr="00023556">
        <w:t xml:space="preserve"> </w:t>
      </w:r>
      <w:r w:rsidR="008A5291" w:rsidRPr="00CB56B9">
        <w:t>nas demais</w:t>
      </w:r>
      <w:r w:rsidR="008A5291">
        <w:t xml:space="preserve"> unidades habitacionais construídas no âmbito do PMCMV</w:t>
      </w:r>
      <w:r w:rsidR="008A5291" w:rsidRPr="00CB56B9">
        <w:t xml:space="preserve">, quando </w:t>
      </w:r>
      <w:r w:rsidR="008A5291">
        <w:t>solicitadas</w:t>
      </w:r>
      <w:r w:rsidR="008A5291" w:rsidRPr="00CB56B9">
        <w:t xml:space="preserve"> p</w:t>
      </w:r>
      <w:r w:rsidR="008A5291">
        <w:t>or</w:t>
      </w:r>
      <w:r w:rsidR="008A5291" w:rsidRPr="00CB56B9">
        <w:t xml:space="preserve"> </w:t>
      </w:r>
      <w:r w:rsidR="008A5291">
        <w:t>beneficiário</w:t>
      </w:r>
      <w:r w:rsidR="008A5291" w:rsidRPr="00CB56B9">
        <w:t xml:space="preserve"> idoso ou com deficiência</w:t>
      </w:r>
      <w:r w:rsidR="008A5291">
        <w:t xml:space="preserve"> de baixa renda</w:t>
      </w:r>
      <w:r w:rsidR="008A5291" w:rsidRPr="00CB56B9">
        <w:t xml:space="preserve"> </w:t>
      </w:r>
      <w:r w:rsidR="008A5291">
        <w:t xml:space="preserve">até a formalização do contrato de compra e venda. </w:t>
      </w:r>
      <w:r>
        <w:rPr>
          <w:szCs w:val="24"/>
        </w:rPr>
        <w:t>(</w:t>
      </w:r>
      <w:proofErr w:type="gramStart"/>
      <w:r>
        <w:rPr>
          <w:szCs w:val="24"/>
        </w:rPr>
        <w:t>NR)”</w:t>
      </w:r>
      <w:proofErr w:type="gramEnd"/>
    </w:p>
    <w:p w:rsidR="00816C6D" w:rsidRDefault="00816C6D" w:rsidP="00816C6D">
      <w:pPr>
        <w:pStyle w:val="05-Pargrafodetexto-CLG"/>
      </w:pPr>
      <w:r>
        <w:rPr>
          <w:b/>
        </w:rPr>
        <w:t xml:space="preserve">Art. 2º </w:t>
      </w:r>
      <w:r>
        <w:t>Esta Lei entra em vigor na data de sua publicação.</w:t>
      </w:r>
    </w:p>
    <w:p w:rsidR="00A85ECB" w:rsidRDefault="00C218D0" w:rsidP="00A85ECB">
      <w:pPr>
        <w:pStyle w:val="10-Local-CLG"/>
      </w:pPr>
      <w:r>
        <w:t>Sala da Comissão,</w:t>
      </w:r>
    </w:p>
    <w:p w:rsidR="00A85ECB" w:rsidRPr="00724990" w:rsidRDefault="00A85ECB" w:rsidP="00A85ECB">
      <w:pPr>
        <w:pStyle w:val="11-Assinaturas-CLG"/>
      </w:pPr>
      <w:r>
        <w:t>, Presidente</w:t>
      </w:r>
    </w:p>
    <w:p w:rsidR="00A85ECB" w:rsidRDefault="00A85ECB" w:rsidP="00A85ECB">
      <w:pPr>
        <w:pStyle w:val="11-Assinaturas-CLG"/>
      </w:pPr>
      <w:r>
        <w:lastRenderedPageBreak/>
        <w:t>, Relator</w:t>
      </w:r>
    </w:p>
    <w:sectPr w:rsidR="00A85ECB" w:rsidSect="00400F63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260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17" w:rsidRDefault="00BB1017" w:rsidP="00A85ECB">
      <w:r>
        <w:separator/>
      </w:r>
    </w:p>
  </w:endnote>
  <w:endnote w:type="continuationSeparator" w:id="0">
    <w:p w:rsidR="00BB1017" w:rsidRDefault="00BB1017" w:rsidP="00A8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B7" w:rsidRDefault="00470EB7">
    <w:pPr>
      <w:pStyle w:val="Rodap"/>
      <w:rPr>
        <w:i/>
        <w:sz w:val="18"/>
      </w:rPr>
    </w:pPr>
    <w:proofErr w:type="gramStart"/>
    <w:r w:rsidRPr="005C0FDC">
      <w:rPr>
        <w:i/>
        <w:sz w:val="18"/>
        <w:szCs w:val="18"/>
      </w:rPr>
      <w:t>fp2015</w:t>
    </w:r>
    <w:proofErr w:type="gramEnd"/>
    <w:r w:rsidRPr="005C0FDC">
      <w:rPr>
        <w:i/>
        <w:sz w:val="18"/>
        <w:szCs w:val="18"/>
      </w:rPr>
      <w:t>-07378</w:t>
    </w:r>
    <w:r>
      <w:rPr>
        <w:i/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B7" w:rsidRPr="00342E7D" w:rsidRDefault="00470EB7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17" w:rsidRDefault="00BB1017" w:rsidP="00A85ECB">
      <w:r>
        <w:separator/>
      </w:r>
    </w:p>
  </w:footnote>
  <w:footnote w:type="continuationSeparator" w:id="0">
    <w:p w:rsidR="00BB1017" w:rsidRDefault="00BB1017" w:rsidP="00A85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B7" w:rsidRDefault="00AB3A3E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0E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0EB7" w:rsidRDefault="00470EB7">
    <w:pPr>
      <w:pStyle w:val="Cabealho"/>
      <w:ind w:right="360"/>
    </w:pPr>
  </w:p>
  <w:p w:rsidR="00470EB7" w:rsidRDefault="00470E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B7" w:rsidRDefault="00AB3A3E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0E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6C1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70EB7" w:rsidRDefault="00470EB7">
    <w:pPr>
      <w:pStyle w:val="Cabealho"/>
      <w:ind w:right="360"/>
    </w:pPr>
  </w:p>
  <w:p w:rsidR="00470EB7" w:rsidRDefault="00470E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ECB"/>
    <w:rsid w:val="0003485E"/>
    <w:rsid w:val="00055CBB"/>
    <w:rsid w:val="0007300D"/>
    <w:rsid w:val="001234EB"/>
    <w:rsid w:val="0014058C"/>
    <w:rsid w:val="0019646D"/>
    <w:rsid w:val="001F7438"/>
    <w:rsid w:val="002029DB"/>
    <w:rsid w:val="002F08FB"/>
    <w:rsid w:val="00385A9D"/>
    <w:rsid w:val="003B6BA9"/>
    <w:rsid w:val="003C5949"/>
    <w:rsid w:val="003F695A"/>
    <w:rsid w:val="00400F63"/>
    <w:rsid w:val="004254A4"/>
    <w:rsid w:val="00426C18"/>
    <w:rsid w:val="00470EB7"/>
    <w:rsid w:val="0048265E"/>
    <w:rsid w:val="004D4188"/>
    <w:rsid w:val="0050661C"/>
    <w:rsid w:val="005079CB"/>
    <w:rsid w:val="005427DE"/>
    <w:rsid w:val="0055336D"/>
    <w:rsid w:val="0059291D"/>
    <w:rsid w:val="005C0FDC"/>
    <w:rsid w:val="005F66EF"/>
    <w:rsid w:val="00666B40"/>
    <w:rsid w:val="006B2AD4"/>
    <w:rsid w:val="00747937"/>
    <w:rsid w:val="00786E12"/>
    <w:rsid w:val="00796409"/>
    <w:rsid w:val="007A3F74"/>
    <w:rsid w:val="007F6C25"/>
    <w:rsid w:val="00800E94"/>
    <w:rsid w:val="00806347"/>
    <w:rsid w:val="00816C6D"/>
    <w:rsid w:val="008707F5"/>
    <w:rsid w:val="008A5291"/>
    <w:rsid w:val="008D22A3"/>
    <w:rsid w:val="00957CF0"/>
    <w:rsid w:val="00980F66"/>
    <w:rsid w:val="0099037D"/>
    <w:rsid w:val="00A070DD"/>
    <w:rsid w:val="00A819D0"/>
    <w:rsid w:val="00A85ECB"/>
    <w:rsid w:val="00AB3A3E"/>
    <w:rsid w:val="00AC4FAA"/>
    <w:rsid w:val="00B26EDC"/>
    <w:rsid w:val="00B44A19"/>
    <w:rsid w:val="00B5322A"/>
    <w:rsid w:val="00B57CDF"/>
    <w:rsid w:val="00BB1017"/>
    <w:rsid w:val="00C218D0"/>
    <w:rsid w:val="00C54477"/>
    <w:rsid w:val="00CD5DD1"/>
    <w:rsid w:val="00CF4AAD"/>
    <w:rsid w:val="00D20B94"/>
    <w:rsid w:val="00E241F7"/>
    <w:rsid w:val="00E54A15"/>
    <w:rsid w:val="00E72AD6"/>
    <w:rsid w:val="00EC05B2"/>
    <w:rsid w:val="00ED38EE"/>
    <w:rsid w:val="00EE1E12"/>
    <w:rsid w:val="00F56077"/>
    <w:rsid w:val="00FA009E"/>
    <w:rsid w:val="00FA22FA"/>
    <w:rsid w:val="00FD7890"/>
    <w:rsid w:val="00FE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C6D"/>
    <w:pPr>
      <w:keepNext/>
      <w:jc w:val="center"/>
      <w:outlineLvl w:val="0"/>
    </w:pPr>
    <w:rPr>
      <w:rFonts w:ascii="Times" w:hAnsi="Times"/>
      <w:b/>
      <w:bCs/>
      <w:w w:val="90"/>
      <w:sz w:val="30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5E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A85E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A85ECB"/>
  </w:style>
  <w:style w:type="paragraph" w:customStyle="1" w:styleId="01-Minuta-CLG">
    <w:name w:val="01 - Minuta - CLG"/>
    <w:link w:val="01-Minuta-CLGChar"/>
    <w:rsid w:val="00A85ECB"/>
    <w:pPr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2-TtuloPrincipal-CLG">
    <w:name w:val="02 - Título Principal - CLG"/>
    <w:link w:val="02-TtuloPrincipal-CLGChar"/>
    <w:rsid w:val="00A85ECB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3-Ementa-CLG">
    <w:name w:val="03 - Ementa - CLG"/>
    <w:link w:val="03-Ementa-CLGCharChar"/>
    <w:rsid w:val="00A85ECB"/>
    <w:pPr>
      <w:spacing w:after="960" w:line="240" w:lineRule="auto"/>
      <w:ind w:left="3686"/>
      <w:jc w:val="both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03-Ementa-CLGCharChar">
    <w:name w:val="03 - Ementa - CLG Char Char"/>
    <w:basedOn w:val="Fontepargpadro"/>
    <w:link w:val="03-Ementa-CLG"/>
    <w:rsid w:val="00A85ECB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04-Relatoria-CLG">
    <w:name w:val="04 - Relatoria - CLG"/>
    <w:link w:val="04-Relatoria-CLGChar"/>
    <w:rsid w:val="00A85ECB"/>
    <w:pPr>
      <w:spacing w:after="96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5-Subttulo-CLG">
    <w:name w:val="05 - Subtítulo - CLG"/>
    <w:link w:val="05-Subttulo-CLGChar"/>
    <w:rsid w:val="00A85ECB"/>
    <w:pPr>
      <w:spacing w:after="48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06-Pargrafodetexto-CLG">
    <w:name w:val="06 - Parágrafo de texto - CLG"/>
    <w:link w:val="06-Pargrafodetexto-CLGChar"/>
    <w:rsid w:val="00A85ECB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1-Minuta-CLGChar">
    <w:name w:val="01 - Minuta - CLG Char"/>
    <w:basedOn w:val="Fontepargpadro"/>
    <w:link w:val="01-Minuta-CLG"/>
    <w:rsid w:val="00A85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0-Local-CLG">
    <w:name w:val="10 - Local - CLG"/>
    <w:link w:val="10-Local-CLGChar"/>
    <w:rsid w:val="00A85ECB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rsid w:val="00A85ECB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2-TtuloPrincipal-CLGChar">
    <w:name w:val="02 - Título Principal - CLG Char"/>
    <w:basedOn w:val="Fontepargpadro"/>
    <w:link w:val="02-TtuloPrincipal-CLG"/>
    <w:rsid w:val="00A85ECB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4-Relatoria-CLGChar">
    <w:name w:val="04 - Relatoria - CLG Char"/>
    <w:basedOn w:val="Fontepargpadro"/>
    <w:link w:val="04-Relatoria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5-Subttulo-CLGChar">
    <w:name w:val="05 - Subtítulo - CLG Char"/>
    <w:basedOn w:val="Fontepargpadro"/>
    <w:link w:val="05-Subttulo-CLG"/>
    <w:rsid w:val="00A85EC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rsid w:val="00A85ECB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8-Citaolegal-ltimalinha-CLG">
    <w:name w:val="08 - Citação legal - última linha - CLG"/>
    <w:rsid w:val="00A85ECB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9-Ttuloemenda-CLG">
    <w:name w:val="09 - Título emenda - CLG"/>
    <w:rsid w:val="00A85ECB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16C6D"/>
    <w:rPr>
      <w:rFonts w:ascii="Times" w:eastAsia="Times New Roman" w:hAnsi="Times" w:cs="Times New Roman"/>
      <w:b/>
      <w:bCs/>
      <w:w w:val="90"/>
      <w:sz w:val="30"/>
      <w:szCs w:val="32"/>
      <w:lang w:eastAsia="pt-BR"/>
    </w:rPr>
  </w:style>
  <w:style w:type="paragraph" w:customStyle="1" w:styleId="Recuodecorpodetexto21">
    <w:name w:val="Recuo de corpo de texto 21"/>
    <w:basedOn w:val="Normal"/>
    <w:rsid w:val="00816C6D"/>
    <w:pPr>
      <w:ind w:firstLine="1418"/>
      <w:jc w:val="both"/>
    </w:pPr>
    <w:rPr>
      <w:sz w:val="28"/>
      <w:szCs w:val="20"/>
    </w:rPr>
  </w:style>
  <w:style w:type="paragraph" w:customStyle="1" w:styleId="05-Pargrafodetexto-CLG">
    <w:name w:val="05 - Parágrafo de texto - CLG"/>
    <w:link w:val="05-Pargrafodetexto-CLGChar"/>
    <w:rsid w:val="00816C6D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5-Pargrafodetexto-CLGChar">
    <w:name w:val="05 - Parágrafo de texto - CLG Char"/>
    <w:link w:val="05-Pargrafodetexto-CLG"/>
    <w:rsid w:val="00816C6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D78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78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7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78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78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8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890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8A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1354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CONLEG - Consultoria Legislativa do Senado Federal</dc:creator>
  <cp:lastModifiedBy>ronaldac</cp:lastModifiedBy>
  <cp:revision>2</cp:revision>
  <dcterms:created xsi:type="dcterms:W3CDTF">2015-10-06T20:44:00Z</dcterms:created>
  <dcterms:modified xsi:type="dcterms:W3CDTF">2015-10-06T20:44:00Z</dcterms:modified>
</cp:coreProperties>
</file>