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92" w:rsidRDefault="00A84B92" w:rsidP="00A84B92">
      <w:pPr>
        <w:pStyle w:val="02-TtuloPrincipal-CLG"/>
      </w:pPr>
      <w:r>
        <w:rPr>
          <w:caps/>
        </w:rPr>
        <w:t>Parecer</w:t>
      </w:r>
      <w:r>
        <w:t xml:space="preserve"> </w:t>
      </w:r>
      <w:proofErr w:type="gramStart"/>
      <w:r>
        <w:t>Nº       ,</w:t>
      </w:r>
      <w:proofErr w:type="gramEnd"/>
      <w:r>
        <w:t xml:space="preserve"> DE 2015</w:t>
      </w:r>
    </w:p>
    <w:p w:rsidR="00A84B92" w:rsidRDefault="00A84B92" w:rsidP="00A84B92">
      <w:pPr>
        <w:pStyle w:val="03-Ementa-CLG"/>
      </w:pPr>
      <w:r>
        <w:t xml:space="preserve">Da COMISSÃO DE DIREITOS HUMANOS E LEGISLAÇÃO PARTICIPATIVA sobre o Projeto de Lei da Câmara nº 47, de 2015 (Projeto de Lei nº 3.575, de 2012, na origem), do Deputado Simão </w:t>
      </w:r>
      <w:proofErr w:type="spellStart"/>
      <w:r>
        <w:t>Sessim</w:t>
      </w:r>
      <w:proofErr w:type="spellEnd"/>
      <w:r>
        <w:t xml:space="preserve">, que </w:t>
      </w:r>
      <w:r>
        <w:rPr>
          <w:i/>
        </w:rPr>
        <w:t xml:space="preserve">altera os </w:t>
      </w:r>
      <w:proofErr w:type="spellStart"/>
      <w:r>
        <w:rPr>
          <w:i/>
        </w:rPr>
        <w:t>arts</w:t>
      </w:r>
      <w:proofErr w:type="spellEnd"/>
      <w:r>
        <w:rPr>
          <w:i/>
        </w:rPr>
        <w:t>. 3º, 15 e 71 da Lei nº 10.741, de 1º de outubro de 2003, que dispõe sobre o Estatuto do Idoso e dá outras providências</w:t>
      </w:r>
      <w:r>
        <w:t>.</w:t>
      </w:r>
    </w:p>
    <w:p w:rsidR="00A84B92" w:rsidRDefault="00A84B92" w:rsidP="00A84B92">
      <w:pPr>
        <w:pStyle w:val="04-Relatoria-CLG"/>
      </w:pPr>
      <w:r>
        <w:t xml:space="preserve">Relator: Senador </w:t>
      </w:r>
      <w:r>
        <w:rPr>
          <w:b/>
          <w:caps/>
        </w:rPr>
        <w:t>Sérgio Petecão</w:t>
      </w:r>
    </w:p>
    <w:p w:rsidR="00A84B92" w:rsidRDefault="00A84B92" w:rsidP="00A84B92">
      <w:pPr>
        <w:pStyle w:val="05-Subttulo-CLG"/>
      </w:pPr>
      <w:r>
        <w:t>I – RELATÓRIO</w:t>
      </w:r>
    </w:p>
    <w:p w:rsidR="00A84B92" w:rsidRDefault="00A84B92" w:rsidP="00A84B92">
      <w:pPr>
        <w:pStyle w:val="06-Pargrafodetexto-CLG"/>
      </w:pPr>
      <w:r>
        <w:t xml:space="preserve">Vem ao exame desta Comissão de Direitos Humanos e Legislação Participativa (CDH) o Projeto de Lei da Câmara (PLC) nº 47, de 2015, que </w:t>
      </w:r>
      <w:r w:rsidRPr="002E38BA">
        <w:t xml:space="preserve">altera os </w:t>
      </w:r>
      <w:proofErr w:type="spellStart"/>
      <w:r w:rsidRPr="002E38BA">
        <w:t>arts</w:t>
      </w:r>
      <w:proofErr w:type="spellEnd"/>
      <w:r w:rsidRPr="002E38BA">
        <w:t>. 3º, 15 e 71 da Lei nº 1</w:t>
      </w:r>
      <w:r>
        <w:t>0.741, de 1º de outubro de 2003 – o</w:t>
      </w:r>
      <w:r w:rsidRPr="002E38BA">
        <w:t xml:space="preserve"> Estatuto do Idoso</w:t>
      </w:r>
      <w:r>
        <w:t xml:space="preserve">. </w:t>
      </w:r>
    </w:p>
    <w:p w:rsidR="00A84B92" w:rsidRDefault="00A84B92" w:rsidP="00A84B92">
      <w:pPr>
        <w:pStyle w:val="06-Pargrafodetexto-CLG"/>
      </w:pPr>
      <w:r>
        <w:t>O conteúdo das alterações refere-se às pessoas com mais de 80 anos de idade, as quais, segundo o autor, têm muito mais dificuldades, quanto a capacidades e mobilidade, “do que as pessoas que ainda estão na faixa dos 60 anos”.</w:t>
      </w:r>
    </w:p>
    <w:p w:rsidR="00A84B92" w:rsidRDefault="00A84B92" w:rsidP="00A84B92">
      <w:pPr>
        <w:pStyle w:val="06-Pargrafodetexto-CLG"/>
      </w:pPr>
      <w:r>
        <w:t>O art. 1º do projeto declina o objeto e a finalidade da lei: criar uma distinção entre as pessoas idosas, para garantir preferência, entre elas, àquelas com mais de 80 anos. Em seu art. 2º, inscreve a distinção no art. 3º do Estatuto do Idoso, que descreve os conteúdos da noção de “prioridade”, que atribui, ainda sem a distinção pretendida pela proposição, aos idosos em geral. Em seu art. 3º, aplica seu conceito de “prioridade especial” ao atendimento de saúde, excetuando os casos de emergência. O art. 4º da proposição estende a categoria de prioridade especial aos direitos processuais dos idosos. Por fim, seu art. 5º determina que a norma entre em vigor na data de sua publicação.</w:t>
      </w:r>
    </w:p>
    <w:p w:rsidR="00A84B92" w:rsidRDefault="00A84B92" w:rsidP="00A84B92">
      <w:pPr>
        <w:pStyle w:val="06-Pargrafodetexto-CLG"/>
      </w:pPr>
      <w:r>
        <w:lastRenderedPageBreak/>
        <w:t>Em sua justificação, o autor traz à baila o aumento da expectativa de vida e a consequente formação de um grupo populacional com mais de 80 anos, e que apresenta, segundo toda a experiência, características de vulnerabilidade mais acentuadas, que demandam reconhecimento especial por parte do poder público.</w:t>
      </w:r>
    </w:p>
    <w:p w:rsidR="00A84B92" w:rsidRDefault="00A84B92" w:rsidP="00A84B92">
      <w:pPr>
        <w:pStyle w:val="06-Pargrafodetexto-CLG"/>
      </w:pPr>
      <w:r>
        <w:t>Na Câmara dos Deputados, o PLC nº 47, de 2015, foi examinado pelas Comissões de Seguridade Social e Família e de Constituição e Justiça e de Cidadania, na qual foi aprovado, de modo terminativo, com emendas.</w:t>
      </w:r>
    </w:p>
    <w:p w:rsidR="00A84B92" w:rsidRPr="003311AC" w:rsidRDefault="00A84B92" w:rsidP="00A84B92">
      <w:pPr>
        <w:pStyle w:val="06-Pargrafodetexto-CLG"/>
      </w:pPr>
      <w:r>
        <w:t>Não foram apresentadas emendas perante esta Comissão.</w:t>
      </w:r>
    </w:p>
    <w:p w:rsidR="001D2CCF" w:rsidRDefault="001D2CCF" w:rsidP="00A84B92">
      <w:pPr>
        <w:pStyle w:val="05-Subttulo-CLG"/>
      </w:pPr>
    </w:p>
    <w:p w:rsidR="00A84B92" w:rsidRPr="005523B9" w:rsidRDefault="00A84B92" w:rsidP="00A84B92">
      <w:pPr>
        <w:pStyle w:val="05-Subttulo-CLG"/>
      </w:pPr>
      <w:r w:rsidRPr="005523B9">
        <w:t>II – ANÁLISE</w:t>
      </w:r>
    </w:p>
    <w:p w:rsidR="00A84B92" w:rsidRDefault="00A84B92" w:rsidP="00A84B92">
      <w:pPr>
        <w:pStyle w:val="06-Pargrafodetexto-CLG"/>
      </w:pPr>
      <w:r>
        <w:t>De acordo com o art. 102-E do Regimento Interno do Senado Federal (RISF), compete a esta CDH opinar sobre proposições que versem sobre a proteção aos idosos. Nessa medida, é perfeitamente regimental o seu exame do PLC nº 47, de 2015.</w:t>
      </w:r>
    </w:p>
    <w:p w:rsidR="00A84B92" w:rsidRDefault="00A84B92" w:rsidP="00A84B92">
      <w:pPr>
        <w:pStyle w:val="06-Pargrafodetexto-CLG"/>
      </w:pPr>
      <w:r>
        <w:t>Não se enxergam óbices de constitucionalidade ou de juridicidade, bem como de técnica legislativa. A distinção pretendida tem caráter de reconhecimento e de promoção dos direitos do segmento mais vulnerável da população idosa, não implicando, assim, qualquer dos tipos de discriminação vedados pela Constituição e pelas leis pertinentes à matéria.</w:t>
      </w:r>
    </w:p>
    <w:p w:rsidR="00A84B92" w:rsidRDefault="00A84B92" w:rsidP="00A84B92">
      <w:pPr>
        <w:pStyle w:val="06-Pargrafodetexto-CLG"/>
      </w:pPr>
      <w:r>
        <w:t>Quanto ao mérito, há que se reconhecer a sensibilidade do autor, bem como o fato de que a solução apresentada resolve o problema e aperfeiçoa a legislação. Não restam dúvidas quanto à maior fragilidade daquelas pessoas octogenárias, bem como quanto ao fato de que elas decerto poderão contar com a compreensão daquelas outras pessoas idosas que ainda não atingiram tão significativa idade.</w:t>
      </w:r>
    </w:p>
    <w:p w:rsidR="00A84B92" w:rsidRPr="00433B79" w:rsidRDefault="00A84B92" w:rsidP="00A84B92">
      <w:pPr>
        <w:pStyle w:val="06-Pargrafodetexto-CLG"/>
      </w:pPr>
      <w:r>
        <w:t>Em síntese: o problema foi bem percebido pela Câmara dos Deputados, e a solução apresentada é acertada.</w:t>
      </w:r>
    </w:p>
    <w:p w:rsidR="001D2CCF" w:rsidRDefault="001D2CCF" w:rsidP="00A84B92">
      <w:pPr>
        <w:pStyle w:val="05-Subttulo-CLG"/>
      </w:pPr>
    </w:p>
    <w:p w:rsidR="00A84B92" w:rsidRDefault="00A84B92" w:rsidP="00A84B92">
      <w:pPr>
        <w:pStyle w:val="05-Subttulo-CLG"/>
      </w:pPr>
      <w:bookmarkStart w:id="0" w:name="_GoBack"/>
      <w:bookmarkEnd w:id="0"/>
      <w:r>
        <w:t>III – VOTO</w:t>
      </w:r>
    </w:p>
    <w:p w:rsidR="00A84B92" w:rsidRPr="003C6F42" w:rsidRDefault="00A84B92" w:rsidP="00A84B92">
      <w:pPr>
        <w:pStyle w:val="06-Pargrafodetexto-CLG"/>
      </w:pPr>
      <w:r>
        <w:t xml:space="preserve">Em razão do exposto, o voto é pela </w:t>
      </w:r>
      <w:r>
        <w:rPr>
          <w:b/>
        </w:rPr>
        <w:t>aprovação</w:t>
      </w:r>
      <w:r>
        <w:t xml:space="preserve"> do Projeto de Lei da Câmara nº 47, de 2015.</w:t>
      </w:r>
    </w:p>
    <w:p w:rsidR="00A84B92" w:rsidRDefault="00A84B92" w:rsidP="00A84B92">
      <w:pPr>
        <w:pStyle w:val="10-Local-CLG"/>
      </w:pPr>
      <w:r>
        <w:t>Sala da Comissão,</w:t>
      </w:r>
    </w:p>
    <w:p w:rsidR="00A84B92" w:rsidRPr="00724990" w:rsidRDefault="00A84B92" w:rsidP="00A84B92">
      <w:pPr>
        <w:pStyle w:val="11-Assinaturas-CLG"/>
      </w:pPr>
      <w:r>
        <w:t>, Presidente</w:t>
      </w:r>
    </w:p>
    <w:p w:rsidR="00A84B92" w:rsidRDefault="00A84B92" w:rsidP="00A84B92">
      <w:pPr>
        <w:pStyle w:val="11-Assinaturas-CLG"/>
      </w:pPr>
      <w:r>
        <w:t>, Relator</w:t>
      </w:r>
    </w:p>
    <w:p w:rsidR="006F0281" w:rsidRPr="00A84B92" w:rsidRDefault="006F0281" w:rsidP="00A84B92"/>
    <w:sectPr w:rsidR="006F0281" w:rsidRPr="00A84B92" w:rsidSect="008151C0">
      <w:headerReference w:type="default" r:id="rId6"/>
      <w:footerReference w:type="default" r:id="rId7"/>
      <w:pgSz w:w="11907" w:h="16840" w:code="9"/>
      <w:pgMar w:top="1701" w:right="1134" w:bottom="1134" w:left="1701" w:header="851" w:footer="83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4F" w:rsidRDefault="00F3424F" w:rsidP="00BA51D3">
      <w:r>
        <w:separator/>
      </w:r>
    </w:p>
  </w:endnote>
  <w:endnote w:type="continuationSeparator" w:id="0">
    <w:p w:rsidR="00F3424F" w:rsidRDefault="00F3424F" w:rsidP="00BA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4F" w:rsidRDefault="00F3424F" w:rsidP="008151C0">
    <w:pPr>
      <w:jc w:val="center"/>
      <w:rPr>
        <w:rFonts w:ascii="American Classic" w:hAnsi="American Classic" w:cs="Tahoma"/>
        <w:color w:val="0000FF"/>
        <w:sz w:val="16"/>
      </w:rPr>
    </w:pPr>
    <w:r>
      <w:rPr>
        <w:rFonts w:ascii="American Classic" w:hAnsi="American Classic" w:cs="Tahoma"/>
        <w:color w:val="0000FF"/>
        <w:sz w:val="16"/>
      </w:rPr>
      <w:t xml:space="preserve">Senado Federal, Ala Senador Teotônio Vilela, Gab. 21, Brasília - DF - </w:t>
    </w:r>
    <w:proofErr w:type="spellStart"/>
    <w:r>
      <w:rPr>
        <w:rFonts w:ascii="American Classic" w:hAnsi="American Classic" w:cs="Tahoma"/>
        <w:color w:val="0000FF"/>
        <w:sz w:val="16"/>
      </w:rPr>
      <w:t>Tel</w:t>
    </w:r>
    <w:proofErr w:type="spellEnd"/>
    <w:r>
      <w:rPr>
        <w:rFonts w:ascii="American Classic" w:hAnsi="American Classic" w:cs="Tahoma"/>
        <w:color w:val="0000FF"/>
        <w:sz w:val="16"/>
      </w:rPr>
      <w:t xml:space="preserve"> (61) 3303-6706 – Fax (61) 3303-6714</w:t>
    </w:r>
  </w:p>
  <w:p w:rsidR="00F3424F" w:rsidRDefault="00F3424F" w:rsidP="008151C0">
    <w:pPr>
      <w:pStyle w:val="Rodap"/>
      <w:jc w:val="center"/>
      <w:rPr>
        <w:spacing w:val="-2"/>
      </w:rPr>
    </w:pPr>
    <w:r>
      <w:rPr>
        <w:rFonts w:ascii="American Classic" w:hAnsi="American Classic" w:cs="Tahoma"/>
        <w:color w:val="0000FF"/>
        <w:sz w:val="16"/>
      </w:rPr>
      <w:t>sergiopetecao@senador.gov.br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4F" w:rsidRDefault="00F3424F" w:rsidP="00BA51D3">
      <w:r>
        <w:separator/>
      </w:r>
    </w:p>
  </w:footnote>
  <w:footnote w:type="continuationSeparator" w:id="0">
    <w:p w:rsidR="00F3424F" w:rsidRDefault="00F3424F" w:rsidP="00BA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4F" w:rsidRDefault="00343C74" w:rsidP="008151C0">
    <w:pPr>
      <w:pStyle w:val="Cabealho"/>
      <w:tabs>
        <w:tab w:val="left" w:pos="1134"/>
      </w:tabs>
      <w:jc w:val="center"/>
      <w:rPr>
        <w:spacing w:val="40"/>
        <w:sz w:val="10"/>
      </w:rPr>
    </w:pPr>
    <w:r>
      <w:rPr>
        <w:noProof/>
        <w:spacing w:val="40"/>
        <w:sz w:val="10"/>
      </w:rPr>
      <w:drawing>
        <wp:inline distT="0" distB="0" distL="0" distR="0">
          <wp:extent cx="778510" cy="833755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24F" w:rsidRDefault="00F3424F" w:rsidP="008151C0">
    <w:pPr>
      <w:pStyle w:val="Cabealho"/>
      <w:tabs>
        <w:tab w:val="left" w:pos="1134"/>
      </w:tabs>
      <w:jc w:val="center"/>
      <w:rPr>
        <w:spacing w:val="40"/>
        <w:sz w:val="16"/>
      </w:rPr>
    </w:pPr>
  </w:p>
  <w:p w:rsidR="00F3424F" w:rsidRDefault="00F3424F" w:rsidP="008151C0">
    <w:pPr>
      <w:pStyle w:val="Cabealho"/>
      <w:tabs>
        <w:tab w:val="clear" w:pos="4419"/>
      </w:tabs>
      <w:jc w:val="center"/>
      <w:rPr>
        <w:rFonts w:ascii="Tahoma" w:hAnsi="Tahoma" w:cs="Tahoma"/>
        <w:b/>
        <w:bCs/>
        <w:color w:val="0000FF"/>
        <w:spacing w:val="20"/>
        <w:sz w:val="24"/>
      </w:rPr>
    </w:pPr>
    <w:r>
      <w:rPr>
        <w:rFonts w:ascii="American Classic" w:hAnsi="American Classic" w:cs="Arial"/>
        <w:color w:val="0000FF"/>
        <w:sz w:val="24"/>
      </w:rPr>
      <w:t xml:space="preserve">SENADOR SÉRGIO PETECÃO </w:t>
    </w:r>
  </w:p>
  <w:p w:rsidR="00F3424F" w:rsidRDefault="00F3424F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F0281"/>
    <w:rsid w:val="00056466"/>
    <w:rsid w:val="000C563B"/>
    <w:rsid w:val="000F1F66"/>
    <w:rsid w:val="00185C3E"/>
    <w:rsid w:val="001D2CCF"/>
    <w:rsid w:val="001D374B"/>
    <w:rsid w:val="002812DE"/>
    <w:rsid w:val="003261D9"/>
    <w:rsid w:val="00336481"/>
    <w:rsid w:val="00343C74"/>
    <w:rsid w:val="005862F9"/>
    <w:rsid w:val="006F0281"/>
    <w:rsid w:val="00791BED"/>
    <w:rsid w:val="008151C0"/>
    <w:rsid w:val="0082552B"/>
    <w:rsid w:val="00840734"/>
    <w:rsid w:val="008A19E0"/>
    <w:rsid w:val="008E3580"/>
    <w:rsid w:val="00911051"/>
    <w:rsid w:val="00A84B92"/>
    <w:rsid w:val="00AC2A66"/>
    <w:rsid w:val="00BA51D3"/>
    <w:rsid w:val="00C043AF"/>
    <w:rsid w:val="00C7429E"/>
    <w:rsid w:val="00CA7882"/>
    <w:rsid w:val="00CD5460"/>
    <w:rsid w:val="00D47E94"/>
    <w:rsid w:val="00D84B1A"/>
    <w:rsid w:val="00DA1B43"/>
    <w:rsid w:val="00DB3BC1"/>
    <w:rsid w:val="00E01C3D"/>
    <w:rsid w:val="00ED4509"/>
    <w:rsid w:val="00F055D1"/>
    <w:rsid w:val="00F3424F"/>
    <w:rsid w:val="00F55662"/>
    <w:rsid w:val="00F6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F028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F02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F02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02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0734"/>
    <w:rPr>
      <w:color w:val="0000FF"/>
      <w:u w:val="single"/>
    </w:rPr>
  </w:style>
  <w:style w:type="paragraph" w:customStyle="1" w:styleId="02-TtuloPrincipal-CLG">
    <w:name w:val="02 - Título Principal - CLG"/>
    <w:link w:val="02-TtuloPrincipal-CLGChar"/>
    <w:rsid w:val="001D374B"/>
    <w:pPr>
      <w:suppressAutoHyphens/>
      <w:spacing w:after="960" w:line="240" w:lineRule="auto"/>
      <w:jc w:val="center"/>
    </w:pPr>
    <w:rPr>
      <w:rFonts w:ascii="Times New Roman" w:eastAsia="Arial" w:hAnsi="Times New Roman" w:cs="Calibri"/>
      <w:b/>
      <w:bCs/>
      <w:sz w:val="32"/>
      <w:szCs w:val="20"/>
      <w:lang w:eastAsia="ar-SA"/>
    </w:rPr>
  </w:style>
  <w:style w:type="paragraph" w:customStyle="1" w:styleId="03-Ementa-CLG">
    <w:name w:val="03 - Ementa - CLG"/>
    <w:link w:val="03-Ementa-CLGCharChar"/>
    <w:rsid w:val="001D374B"/>
    <w:pPr>
      <w:suppressAutoHyphens/>
      <w:spacing w:after="960" w:line="240" w:lineRule="auto"/>
      <w:ind w:left="3686"/>
      <w:jc w:val="both"/>
    </w:pPr>
    <w:rPr>
      <w:rFonts w:ascii="Times New Roman" w:eastAsia="Arial Unicode MS" w:hAnsi="Times New Roman" w:cs="Calibri"/>
      <w:sz w:val="24"/>
      <w:szCs w:val="24"/>
      <w:lang w:eastAsia="ar-SA"/>
    </w:rPr>
  </w:style>
  <w:style w:type="paragraph" w:customStyle="1" w:styleId="04-Relatoria-CLG">
    <w:name w:val="04 - Relatoria - CLG"/>
    <w:link w:val="04-Relatoria-CLGChar"/>
    <w:rsid w:val="001D374B"/>
    <w:pPr>
      <w:suppressAutoHyphens/>
      <w:spacing w:after="960" w:line="240" w:lineRule="auto"/>
      <w:ind w:left="1440"/>
    </w:pPr>
    <w:rPr>
      <w:rFonts w:ascii="Times New Roman" w:eastAsia="Arial" w:hAnsi="Times New Roman" w:cs="Calibri"/>
      <w:sz w:val="28"/>
      <w:szCs w:val="20"/>
      <w:lang w:eastAsia="ar-SA"/>
    </w:rPr>
  </w:style>
  <w:style w:type="paragraph" w:customStyle="1" w:styleId="05-Subttulo-CLG">
    <w:name w:val="05 - Subtítulo - CLG"/>
    <w:link w:val="05-Subttulo-CLGChar"/>
    <w:rsid w:val="001D374B"/>
    <w:pPr>
      <w:suppressAutoHyphens/>
      <w:spacing w:after="480" w:line="240" w:lineRule="auto"/>
      <w:jc w:val="both"/>
    </w:pPr>
    <w:rPr>
      <w:rFonts w:ascii="Times New Roman" w:eastAsia="Arial" w:hAnsi="Times New Roman" w:cs="Calibri"/>
      <w:b/>
      <w:bCs/>
      <w:sz w:val="28"/>
      <w:szCs w:val="20"/>
      <w:lang w:eastAsia="ar-SA"/>
    </w:rPr>
  </w:style>
  <w:style w:type="paragraph" w:customStyle="1" w:styleId="06-Pargrafodetexto-CLG">
    <w:name w:val="06 - Parágrafo de texto - CLG"/>
    <w:link w:val="06-Pargrafodetexto-CLGChar"/>
    <w:rsid w:val="001D374B"/>
    <w:pPr>
      <w:suppressAutoHyphens/>
      <w:spacing w:after="360" w:line="240" w:lineRule="auto"/>
      <w:ind w:firstLine="1418"/>
      <w:jc w:val="both"/>
    </w:pPr>
    <w:rPr>
      <w:rFonts w:ascii="Times New Roman" w:eastAsia="Arial" w:hAnsi="Times New Roman" w:cs="Calibri"/>
      <w:sz w:val="28"/>
      <w:szCs w:val="20"/>
      <w:lang w:eastAsia="ar-SA"/>
    </w:rPr>
  </w:style>
  <w:style w:type="paragraph" w:customStyle="1" w:styleId="10-Local-CLG">
    <w:name w:val="10 - Local - CLG"/>
    <w:link w:val="10-Local-CLGChar"/>
    <w:rsid w:val="001D374B"/>
    <w:pPr>
      <w:suppressAutoHyphens/>
      <w:spacing w:before="960" w:after="720" w:line="240" w:lineRule="auto"/>
      <w:ind w:firstLine="2520"/>
      <w:jc w:val="both"/>
    </w:pPr>
    <w:rPr>
      <w:rFonts w:ascii="Times New Roman" w:eastAsia="Arial" w:hAnsi="Times New Roman" w:cs="Calibri"/>
      <w:sz w:val="28"/>
      <w:szCs w:val="20"/>
      <w:lang w:eastAsia="ar-SA"/>
    </w:rPr>
  </w:style>
  <w:style w:type="paragraph" w:customStyle="1" w:styleId="11-Assinaturas-CLG">
    <w:name w:val="11 - Assinaturas - CLG"/>
    <w:link w:val="11-Assinaturas-CLGChar"/>
    <w:rsid w:val="001D374B"/>
    <w:pPr>
      <w:suppressAutoHyphens/>
      <w:spacing w:after="960" w:line="240" w:lineRule="auto"/>
      <w:ind w:left="6240"/>
      <w:jc w:val="both"/>
    </w:pPr>
    <w:rPr>
      <w:rFonts w:ascii="Times New Roman" w:eastAsia="Arial" w:hAnsi="Times New Roman" w:cs="Calibri"/>
      <w:sz w:val="28"/>
      <w:szCs w:val="20"/>
      <w:lang w:eastAsia="ar-SA"/>
    </w:rPr>
  </w:style>
  <w:style w:type="character" w:customStyle="1" w:styleId="02-TtuloPrincipal-CLGChar">
    <w:name w:val="02 - Título Principal - CLG Char"/>
    <w:basedOn w:val="Fontepargpadro"/>
    <w:link w:val="02-TtuloPrincipal-CLG"/>
    <w:locked/>
    <w:rsid w:val="000F1F66"/>
    <w:rPr>
      <w:rFonts w:ascii="Times New Roman" w:eastAsia="Arial" w:hAnsi="Times New Roman" w:cs="Calibri"/>
      <w:b/>
      <w:bCs/>
      <w:sz w:val="32"/>
      <w:szCs w:val="20"/>
      <w:lang w:eastAsia="ar-SA"/>
    </w:rPr>
  </w:style>
  <w:style w:type="character" w:customStyle="1" w:styleId="03-Ementa-CLGCharChar">
    <w:name w:val="03 - Ementa - CLG Char Char"/>
    <w:basedOn w:val="Fontepargpadro"/>
    <w:link w:val="03-Ementa-CLG"/>
    <w:locked/>
    <w:rsid w:val="000F1F66"/>
    <w:rPr>
      <w:rFonts w:ascii="Times New Roman" w:eastAsia="Arial Unicode MS" w:hAnsi="Times New Roman" w:cs="Calibri"/>
      <w:sz w:val="24"/>
      <w:szCs w:val="24"/>
      <w:lang w:eastAsia="ar-SA"/>
    </w:rPr>
  </w:style>
  <w:style w:type="character" w:customStyle="1" w:styleId="04-Relatoria-CLGChar">
    <w:name w:val="04 - Relatoria - CLG Char"/>
    <w:basedOn w:val="Fontepargpadro"/>
    <w:link w:val="04-Relatoria-CLG"/>
    <w:locked/>
    <w:rsid w:val="000F1F66"/>
    <w:rPr>
      <w:rFonts w:ascii="Times New Roman" w:eastAsia="Arial" w:hAnsi="Times New Roman" w:cs="Calibri"/>
      <w:sz w:val="28"/>
      <w:szCs w:val="20"/>
      <w:lang w:eastAsia="ar-SA"/>
    </w:rPr>
  </w:style>
  <w:style w:type="character" w:customStyle="1" w:styleId="05-Subttulo-CLGChar">
    <w:name w:val="05 - Subtítulo - CLG Char"/>
    <w:basedOn w:val="Fontepargpadro"/>
    <w:link w:val="05-Subttulo-CLG"/>
    <w:locked/>
    <w:rsid w:val="000F1F66"/>
    <w:rPr>
      <w:rFonts w:ascii="Times New Roman" w:eastAsia="Arial" w:hAnsi="Times New Roman" w:cs="Calibri"/>
      <w:b/>
      <w:bCs/>
      <w:sz w:val="28"/>
      <w:szCs w:val="20"/>
      <w:lang w:eastAsia="ar-SA"/>
    </w:rPr>
  </w:style>
  <w:style w:type="character" w:customStyle="1" w:styleId="06-Pargrafodetexto-CLGChar">
    <w:name w:val="06 - Parágrafo de texto - CLG Char"/>
    <w:basedOn w:val="Fontepargpadro"/>
    <w:link w:val="06-Pargrafodetexto-CLG"/>
    <w:locked/>
    <w:rsid w:val="000F1F66"/>
    <w:rPr>
      <w:rFonts w:ascii="Times New Roman" w:eastAsia="Arial" w:hAnsi="Times New Roman" w:cs="Calibri"/>
      <w:sz w:val="28"/>
      <w:szCs w:val="20"/>
      <w:lang w:eastAsia="ar-SA"/>
    </w:rPr>
  </w:style>
  <w:style w:type="character" w:customStyle="1" w:styleId="10-Local-CLGChar">
    <w:name w:val="10 - Local - CLG Char"/>
    <w:basedOn w:val="Fontepargpadro"/>
    <w:link w:val="10-Local-CLG"/>
    <w:locked/>
    <w:rsid w:val="000F1F66"/>
    <w:rPr>
      <w:rFonts w:ascii="Times New Roman" w:eastAsia="Arial" w:hAnsi="Times New Roman" w:cs="Calibri"/>
      <w:sz w:val="28"/>
      <w:szCs w:val="20"/>
      <w:lang w:eastAsia="ar-SA"/>
    </w:rPr>
  </w:style>
  <w:style w:type="character" w:customStyle="1" w:styleId="11-Assinaturas-CLGChar">
    <w:name w:val="11 - Assinaturas - CLG Char"/>
    <w:basedOn w:val="Fontepargpadro"/>
    <w:link w:val="11-Assinaturas-CLG"/>
    <w:locked/>
    <w:rsid w:val="000F1F66"/>
    <w:rPr>
      <w:rFonts w:ascii="Times New Roman" w:eastAsia="Arial" w:hAnsi="Times New Roman" w:cs="Calibri"/>
      <w:sz w:val="28"/>
      <w:szCs w:val="20"/>
      <w:lang w:eastAsia="ar-SA"/>
    </w:rPr>
  </w:style>
  <w:style w:type="paragraph" w:customStyle="1" w:styleId="Paragrafo">
    <w:name w:val="Paragrafo"/>
    <w:basedOn w:val="Normal"/>
    <w:qFormat/>
    <w:rsid w:val="00343C74"/>
    <w:pPr>
      <w:tabs>
        <w:tab w:val="left" w:pos="1418"/>
        <w:tab w:val="left" w:pos="1701"/>
        <w:tab w:val="right" w:pos="7372"/>
      </w:tabs>
      <w:suppressAutoHyphens/>
      <w:spacing w:before="360" w:after="360"/>
      <w:ind w:firstLine="1418"/>
      <w:jc w:val="both"/>
    </w:pPr>
    <w:rPr>
      <w:sz w:val="28"/>
      <w:szCs w:val="20"/>
    </w:rPr>
  </w:style>
  <w:style w:type="paragraph" w:customStyle="1" w:styleId="09-Ttuloemenda-CLG">
    <w:name w:val="09 - Título emenda - CLG"/>
    <w:rsid w:val="00336481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8"/>
      <w:szCs w:val="20"/>
      <w:lang w:eastAsia="pt-BR"/>
    </w:rPr>
  </w:style>
  <w:style w:type="paragraph" w:customStyle="1" w:styleId="08-Citaolegal-ltimalinha-CLG">
    <w:name w:val="08 - Citação legal - última linha - CLG"/>
    <w:rsid w:val="00F67427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A6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jmarques</dc:creator>
  <cp:lastModifiedBy>segidio</cp:lastModifiedBy>
  <cp:revision>2</cp:revision>
  <dcterms:created xsi:type="dcterms:W3CDTF">2015-10-07T14:45:00Z</dcterms:created>
  <dcterms:modified xsi:type="dcterms:W3CDTF">2015-10-07T14:45:00Z</dcterms:modified>
</cp:coreProperties>
</file>