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07" w:rsidRDefault="00A77907" w:rsidP="00A77907">
      <w:pPr>
        <w:keepNext/>
        <w:jc w:val="center"/>
        <w:outlineLvl w:val="0"/>
        <w:rPr>
          <w:rFonts w:ascii="Arial" w:hAnsi="Arial"/>
          <w:b/>
          <w:caps/>
          <w:snapToGrid w:val="0"/>
          <w:kern w:val="28"/>
          <w:sz w:val="28"/>
        </w:rPr>
      </w:pPr>
      <w:r w:rsidRPr="00A77907">
        <w:rPr>
          <w:rFonts w:ascii="Arial" w:hAnsi="Arial"/>
          <w:b/>
          <w:caps/>
          <w:snapToGrid w:val="0"/>
          <w:kern w:val="28"/>
          <w:sz w:val="28"/>
        </w:rPr>
        <w:t xml:space="preserve">comissão mista destinada A EXAMINAR E EMITIR PARECER SOBRE A MEDIDA PROVISÓRIA </w:t>
      </w:r>
      <w:proofErr w:type="gramStart"/>
      <w:r w:rsidRPr="00A77907">
        <w:rPr>
          <w:rFonts w:ascii="Arial" w:hAnsi="Arial"/>
          <w:b/>
          <w:caps/>
          <w:snapToGrid w:val="0"/>
          <w:kern w:val="28"/>
          <w:sz w:val="28"/>
        </w:rPr>
        <w:t>N</w:t>
      </w:r>
      <w:r w:rsidRPr="00A77907">
        <w:rPr>
          <w:rFonts w:ascii="Arial" w:hAnsi="Arial"/>
          <w:b/>
          <w:caps/>
          <w:snapToGrid w:val="0"/>
          <w:kern w:val="28"/>
          <w:sz w:val="28"/>
          <w:u w:val="single"/>
          <w:vertAlign w:val="superscript"/>
        </w:rPr>
        <w:t>o</w:t>
      </w:r>
      <w:r w:rsidRPr="00A77907">
        <w:rPr>
          <w:rFonts w:ascii="Arial" w:hAnsi="Arial"/>
          <w:b/>
          <w:caps/>
          <w:snapToGrid w:val="0"/>
          <w:kern w:val="28"/>
          <w:sz w:val="28"/>
        </w:rPr>
        <w:t xml:space="preserve"> 680</w:t>
      </w:r>
      <w:proofErr w:type="gramEnd"/>
      <w:r w:rsidRPr="00A77907">
        <w:rPr>
          <w:rFonts w:ascii="Arial" w:hAnsi="Arial"/>
          <w:b/>
          <w:caps/>
          <w:snapToGrid w:val="0"/>
          <w:kern w:val="28"/>
          <w:sz w:val="28"/>
        </w:rPr>
        <w:t>, DE 2015</w:t>
      </w:r>
    </w:p>
    <w:p w:rsidR="00A77907" w:rsidRDefault="00A77907" w:rsidP="00A77907">
      <w:pPr>
        <w:keepNext/>
        <w:jc w:val="center"/>
        <w:outlineLvl w:val="0"/>
        <w:rPr>
          <w:rFonts w:ascii="Arial" w:hAnsi="Arial"/>
          <w:b/>
          <w:caps/>
          <w:snapToGrid w:val="0"/>
          <w:kern w:val="28"/>
          <w:sz w:val="28"/>
        </w:rPr>
      </w:pPr>
    </w:p>
    <w:p w:rsidR="00A77907" w:rsidRDefault="00A77907" w:rsidP="00A77907">
      <w:pPr>
        <w:keepNext/>
        <w:widowControl w:val="0"/>
        <w:jc w:val="center"/>
        <w:outlineLvl w:val="1"/>
        <w:rPr>
          <w:rFonts w:ascii="Arial" w:hAnsi="Arial"/>
          <w:b/>
          <w:snapToGrid w:val="0"/>
          <w:color w:val="000000"/>
          <w:sz w:val="28"/>
        </w:rPr>
      </w:pPr>
    </w:p>
    <w:p w:rsidR="00A77907" w:rsidRPr="00A77907" w:rsidRDefault="00A77907" w:rsidP="00A77907">
      <w:pPr>
        <w:keepNext/>
        <w:widowControl w:val="0"/>
        <w:jc w:val="center"/>
        <w:outlineLvl w:val="1"/>
        <w:rPr>
          <w:rFonts w:ascii="Arial" w:hAnsi="Arial"/>
          <w:b/>
          <w:snapToGrid w:val="0"/>
          <w:color w:val="000000"/>
          <w:sz w:val="28"/>
        </w:rPr>
      </w:pPr>
      <w:r w:rsidRPr="00A77907">
        <w:rPr>
          <w:rFonts w:ascii="Arial" w:hAnsi="Arial"/>
          <w:b/>
          <w:snapToGrid w:val="0"/>
          <w:color w:val="000000"/>
          <w:sz w:val="28"/>
        </w:rPr>
        <w:t xml:space="preserve">MEDIDA PROVISÓRIA </w:t>
      </w:r>
      <w:proofErr w:type="gramStart"/>
      <w:r w:rsidRPr="00A77907">
        <w:rPr>
          <w:rFonts w:ascii="Arial" w:hAnsi="Arial"/>
          <w:b/>
          <w:snapToGrid w:val="0"/>
          <w:color w:val="000000"/>
          <w:sz w:val="28"/>
        </w:rPr>
        <w:t>N</w:t>
      </w:r>
      <w:r w:rsidRPr="00A77907">
        <w:rPr>
          <w:rFonts w:ascii="Arial" w:hAnsi="Arial"/>
          <w:b/>
          <w:snapToGrid w:val="0"/>
          <w:color w:val="000000"/>
          <w:sz w:val="28"/>
          <w:u w:val="single"/>
          <w:vertAlign w:val="superscript"/>
        </w:rPr>
        <w:t>o</w:t>
      </w:r>
      <w:r w:rsidRPr="00A77907">
        <w:rPr>
          <w:rFonts w:ascii="Arial" w:hAnsi="Arial"/>
          <w:b/>
          <w:snapToGrid w:val="0"/>
          <w:color w:val="000000"/>
          <w:sz w:val="28"/>
        </w:rPr>
        <w:t xml:space="preserve"> 680</w:t>
      </w:r>
      <w:proofErr w:type="gramEnd"/>
      <w:r w:rsidRPr="00A77907">
        <w:rPr>
          <w:rFonts w:ascii="Arial" w:hAnsi="Arial"/>
          <w:b/>
          <w:snapToGrid w:val="0"/>
          <w:color w:val="000000"/>
          <w:sz w:val="28"/>
        </w:rPr>
        <w:t>, DE 2015</w:t>
      </w:r>
    </w:p>
    <w:p w:rsidR="00A77907" w:rsidRPr="00A77907" w:rsidRDefault="00A77907" w:rsidP="00A77907">
      <w:pPr>
        <w:widowControl w:val="0"/>
        <w:spacing w:line="360" w:lineRule="exact"/>
        <w:jc w:val="center"/>
        <w:rPr>
          <w:rFonts w:ascii="Arial" w:hAnsi="Arial"/>
          <w:snapToGrid w:val="0"/>
          <w:color w:val="000000"/>
          <w:sz w:val="24"/>
        </w:rPr>
      </w:pPr>
      <w:r w:rsidRPr="00A77907">
        <w:rPr>
          <w:rFonts w:ascii="Arial" w:hAnsi="Arial"/>
          <w:b/>
          <w:snapToGrid w:val="0"/>
          <w:color w:val="000000"/>
          <w:sz w:val="24"/>
        </w:rPr>
        <w:t xml:space="preserve">(MENSAGEM </w:t>
      </w:r>
      <w:proofErr w:type="gramStart"/>
      <w:r w:rsidRPr="00A77907">
        <w:rPr>
          <w:rFonts w:ascii="Arial" w:hAnsi="Arial"/>
          <w:b/>
          <w:snapToGrid w:val="0"/>
          <w:color w:val="000000"/>
          <w:sz w:val="24"/>
        </w:rPr>
        <w:t>N</w:t>
      </w:r>
      <w:r w:rsidRPr="00A77907">
        <w:rPr>
          <w:u w:val="single"/>
          <w:vertAlign w:val="superscript"/>
        </w:rPr>
        <w:t>o</w:t>
      </w:r>
      <w:r w:rsidRPr="00A77907">
        <w:rPr>
          <w:rFonts w:ascii="Arial" w:hAnsi="Arial"/>
          <w:b/>
          <w:snapToGrid w:val="0"/>
          <w:color w:val="000000"/>
          <w:sz w:val="24"/>
        </w:rPr>
        <w:t xml:space="preserve"> 241</w:t>
      </w:r>
      <w:proofErr w:type="gramEnd"/>
      <w:r w:rsidRPr="00A77907">
        <w:rPr>
          <w:rFonts w:ascii="Arial" w:hAnsi="Arial"/>
          <w:b/>
          <w:snapToGrid w:val="0"/>
          <w:color w:val="000000"/>
          <w:sz w:val="24"/>
        </w:rPr>
        <w:t>, de 2015)</w:t>
      </w:r>
    </w:p>
    <w:p w:rsidR="00A77907" w:rsidRPr="00A77907" w:rsidRDefault="00A77907" w:rsidP="00A77907">
      <w:pPr>
        <w:widowControl w:val="0"/>
        <w:spacing w:before="840" w:after="357" w:line="280" w:lineRule="exact"/>
        <w:ind w:left="3742" w:firstLine="720"/>
        <w:jc w:val="both"/>
        <w:rPr>
          <w:rFonts w:ascii="Arial" w:hAnsi="Arial"/>
          <w:snapToGrid w:val="0"/>
          <w:color w:val="000000"/>
          <w:sz w:val="24"/>
        </w:rPr>
      </w:pPr>
      <w:r w:rsidRPr="00A77907">
        <w:rPr>
          <w:rFonts w:ascii="Arial" w:hAnsi="Arial"/>
          <w:snapToGrid w:val="0"/>
          <w:color w:val="000000"/>
          <w:sz w:val="24"/>
        </w:rPr>
        <w:t xml:space="preserve">Institui o Programa de Proteção ao Emprego e dá outras providências </w:t>
      </w:r>
    </w:p>
    <w:p w:rsidR="00A77907" w:rsidRPr="00A77907" w:rsidRDefault="00A77907" w:rsidP="00A77907">
      <w:pPr>
        <w:widowControl w:val="0"/>
        <w:spacing w:line="360" w:lineRule="exact"/>
        <w:ind w:left="4490" w:hanging="748"/>
        <w:jc w:val="both"/>
        <w:rPr>
          <w:rFonts w:ascii="Arial" w:hAnsi="Arial"/>
          <w:snapToGrid w:val="0"/>
          <w:color w:val="000000"/>
          <w:sz w:val="24"/>
        </w:rPr>
      </w:pPr>
      <w:r w:rsidRPr="00A77907">
        <w:rPr>
          <w:rFonts w:ascii="Arial" w:hAnsi="Arial"/>
          <w:b/>
          <w:snapToGrid w:val="0"/>
          <w:color w:val="000000"/>
          <w:sz w:val="24"/>
        </w:rPr>
        <w:t>Autor</w:t>
      </w:r>
      <w:r w:rsidRPr="00A77907">
        <w:rPr>
          <w:rFonts w:ascii="Arial" w:hAnsi="Arial"/>
          <w:snapToGrid w:val="0"/>
          <w:color w:val="000000"/>
          <w:sz w:val="24"/>
        </w:rPr>
        <w:t>: PODER EXECUTIVO</w:t>
      </w:r>
    </w:p>
    <w:p w:rsidR="00A77907" w:rsidRPr="00A77907" w:rsidRDefault="00A77907" w:rsidP="00A77907">
      <w:pPr>
        <w:widowControl w:val="0"/>
        <w:spacing w:line="360" w:lineRule="exact"/>
        <w:ind w:left="4680" w:hanging="936"/>
        <w:jc w:val="both"/>
        <w:rPr>
          <w:rFonts w:ascii="Arial" w:hAnsi="Arial"/>
          <w:snapToGrid w:val="0"/>
          <w:color w:val="000000"/>
          <w:sz w:val="24"/>
        </w:rPr>
      </w:pPr>
      <w:r w:rsidRPr="00A77907">
        <w:rPr>
          <w:rFonts w:ascii="Arial" w:hAnsi="Arial"/>
          <w:b/>
          <w:snapToGrid w:val="0"/>
          <w:color w:val="000000"/>
          <w:sz w:val="24"/>
        </w:rPr>
        <w:t>Relator</w:t>
      </w:r>
      <w:r w:rsidRPr="00A77907">
        <w:rPr>
          <w:rFonts w:ascii="Arial" w:hAnsi="Arial"/>
          <w:snapToGrid w:val="0"/>
          <w:color w:val="000000"/>
          <w:sz w:val="24"/>
        </w:rPr>
        <w:t xml:space="preserve">: Deputado DANIEL VILELA </w:t>
      </w:r>
    </w:p>
    <w:p w:rsidR="00A77907" w:rsidRDefault="00A77907" w:rsidP="00A77907">
      <w:pPr>
        <w:keepNext/>
        <w:spacing w:line="360" w:lineRule="auto"/>
        <w:jc w:val="center"/>
        <w:outlineLvl w:val="0"/>
        <w:rPr>
          <w:rFonts w:ascii="Arial" w:hAnsi="Arial"/>
          <w:b/>
          <w:caps/>
          <w:snapToGrid w:val="0"/>
          <w:kern w:val="28"/>
          <w:sz w:val="28"/>
        </w:rPr>
      </w:pPr>
    </w:p>
    <w:p w:rsidR="00A77907" w:rsidRPr="00A77907" w:rsidRDefault="00A77907" w:rsidP="00A77907">
      <w:pPr>
        <w:keepNext/>
        <w:spacing w:line="360" w:lineRule="auto"/>
        <w:jc w:val="center"/>
        <w:outlineLvl w:val="0"/>
        <w:rPr>
          <w:rFonts w:ascii="Arial" w:hAnsi="Arial"/>
          <w:b/>
          <w:caps/>
          <w:snapToGrid w:val="0"/>
          <w:kern w:val="28"/>
          <w:sz w:val="28"/>
        </w:rPr>
      </w:pPr>
    </w:p>
    <w:p w:rsidR="002F4CE3" w:rsidRPr="000A6E63" w:rsidRDefault="002F4CE3" w:rsidP="00A77907">
      <w:pPr>
        <w:pStyle w:val="corpopadro"/>
        <w:widowControl/>
        <w:spacing w:after="0" w:line="240" w:lineRule="auto"/>
        <w:ind w:firstLine="1134"/>
        <w:rPr>
          <w:rFonts w:ascii="Arial" w:hAnsi="Arial" w:cs="Arial"/>
          <w:szCs w:val="24"/>
        </w:rPr>
      </w:pPr>
      <w:r w:rsidRPr="000A6E63">
        <w:rPr>
          <w:rFonts w:ascii="Arial" w:hAnsi="Arial" w:cs="Arial"/>
          <w:szCs w:val="24"/>
        </w:rPr>
        <w:t>Nos termos do art. 4º, § 4º da Resolução nº 1, d</w:t>
      </w:r>
      <w:r w:rsidR="00A77907" w:rsidRPr="000A6E63">
        <w:rPr>
          <w:rFonts w:ascii="Arial" w:hAnsi="Arial" w:cs="Arial"/>
          <w:szCs w:val="24"/>
        </w:rPr>
        <w:t xml:space="preserve">e </w:t>
      </w:r>
      <w:proofErr w:type="gramStart"/>
      <w:r w:rsidR="00A77907" w:rsidRPr="000A6E63">
        <w:rPr>
          <w:rFonts w:ascii="Arial" w:hAnsi="Arial" w:cs="Arial"/>
          <w:szCs w:val="24"/>
        </w:rPr>
        <w:t>9</w:t>
      </w:r>
      <w:proofErr w:type="gramEnd"/>
      <w:r w:rsidR="00A77907" w:rsidRPr="000A6E63">
        <w:rPr>
          <w:rFonts w:ascii="Arial" w:hAnsi="Arial" w:cs="Arial"/>
          <w:szCs w:val="24"/>
        </w:rPr>
        <w:t xml:space="preserve"> de maio de 2002, são inadmit</w:t>
      </w:r>
      <w:r w:rsidRPr="000A6E63">
        <w:rPr>
          <w:rFonts w:ascii="Arial" w:hAnsi="Arial" w:cs="Arial"/>
          <w:szCs w:val="24"/>
        </w:rPr>
        <w:t>idas a</w:t>
      </w:r>
      <w:r w:rsidR="00D5017D" w:rsidRPr="000A6E63">
        <w:rPr>
          <w:rFonts w:ascii="Arial" w:hAnsi="Arial" w:cs="Arial"/>
          <w:szCs w:val="24"/>
        </w:rPr>
        <w:t xml:space="preserve">s seguintes emendas </w:t>
      </w:r>
      <w:r w:rsidRPr="000A6E63">
        <w:rPr>
          <w:rFonts w:ascii="Arial" w:hAnsi="Arial" w:cs="Arial"/>
          <w:szCs w:val="24"/>
        </w:rPr>
        <w:t xml:space="preserve">apresentadas </w:t>
      </w:r>
      <w:r w:rsidR="00D5017D" w:rsidRPr="000A6E63">
        <w:rPr>
          <w:rFonts w:ascii="Arial" w:hAnsi="Arial" w:cs="Arial"/>
          <w:szCs w:val="24"/>
        </w:rPr>
        <w:t xml:space="preserve">à MP 680, de 2015, </w:t>
      </w:r>
      <w:r w:rsidRPr="000A6E63">
        <w:rPr>
          <w:rFonts w:ascii="Arial" w:hAnsi="Arial" w:cs="Arial"/>
          <w:szCs w:val="24"/>
        </w:rPr>
        <w:t>por versarem sobre matéria estranha:</w:t>
      </w:r>
      <w:bookmarkStart w:id="0" w:name="_GoBack"/>
      <w:bookmarkEnd w:id="0"/>
    </w:p>
    <w:p w:rsidR="008D723A" w:rsidRPr="000A6E63" w:rsidRDefault="008D723A" w:rsidP="00B0167B">
      <w:pPr>
        <w:pStyle w:val="corpopadro"/>
        <w:widowControl/>
        <w:rPr>
          <w:rFonts w:ascii="Arial" w:hAnsi="Arial" w:cs="Arial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732"/>
        <w:gridCol w:w="6412"/>
      </w:tblGrid>
      <w:tr w:rsidR="002F4CE3" w:rsidRPr="00575859" w:rsidTr="00420571">
        <w:trPr>
          <w:tblHeader/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8D723A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bCs/>
                <w:color w:val="3A3A3A"/>
                <w:sz w:val="24"/>
                <w:szCs w:val="24"/>
              </w:rPr>
              <w:t>Nº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172361" w:rsidRDefault="002F4CE3" w:rsidP="008D723A">
            <w:pPr>
              <w:jc w:val="center"/>
              <w:rPr>
                <w:rFonts w:ascii="Garamond" w:hAnsi="Garamond"/>
                <w:b/>
                <w:color w:val="3A3A3A"/>
                <w:sz w:val="24"/>
                <w:szCs w:val="24"/>
              </w:rPr>
            </w:pPr>
            <w:r w:rsidRPr="00172361">
              <w:rPr>
                <w:rFonts w:ascii="Garamond" w:hAnsi="Garamond"/>
                <w:b/>
                <w:bCs/>
                <w:color w:val="3A3A3A"/>
                <w:sz w:val="24"/>
                <w:szCs w:val="24"/>
              </w:rPr>
              <w:t>Autor</w:t>
            </w:r>
          </w:p>
        </w:tc>
        <w:tc>
          <w:tcPr>
            <w:tcW w:w="3760" w:type="pct"/>
            <w:shd w:val="clear" w:color="auto" w:fill="EFEFEF"/>
            <w:hideMark/>
          </w:tcPr>
          <w:p w:rsidR="002F4CE3" w:rsidRPr="00172361" w:rsidRDefault="002F4CE3" w:rsidP="008D723A">
            <w:pPr>
              <w:jc w:val="center"/>
              <w:rPr>
                <w:rFonts w:ascii="Garamond" w:hAnsi="Garamond"/>
                <w:b/>
                <w:color w:val="3A3A3A"/>
                <w:sz w:val="24"/>
                <w:szCs w:val="24"/>
              </w:rPr>
            </w:pPr>
            <w:r w:rsidRPr="00172361">
              <w:rPr>
                <w:rFonts w:ascii="Garamond" w:hAnsi="Garamond"/>
                <w:b/>
                <w:bCs/>
                <w:color w:val="3A3A3A"/>
                <w:sz w:val="24"/>
                <w:szCs w:val="24"/>
              </w:rPr>
              <w:t>Descrição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12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9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Covatti</w:t>
              </w:r>
              <w:proofErr w:type="spellEnd"/>
              <w:r w:rsidRPr="00575859">
                <w:rPr>
                  <w:rFonts w:ascii="Garamond" w:hAnsi="Garamond"/>
                  <w:sz w:val="24"/>
                  <w:szCs w:val="24"/>
                </w:rPr>
                <w:t xml:space="preserve"> Filho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Inclui dispositivos relacionados ao tempo de </w:t>
            </w:r>
            <w:proofErr w:type="spell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radiotransmissão</w:t>
            </w:r>
            <w:proofErr w:type="spellEnd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 dos Poderes da República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14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0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Heráclito Fortes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Acrescenta dispositivo para alterar a Lei nº 6.321/1976, para excluir do salário de contribuição a parcela paga em pecúnia pela empresa nos programas de alimentação - 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PAT</w:t>
            </w:r>
            <w:proofErr w:type="gramEnd"/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15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1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Roberto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Balestra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Acrescenta dispositivo à CLT a fim de estabelecer que 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 existência de fontes de calor não caracterizam</w:t>
            </w:r>
            <w:proofErr w:type="gramEnd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, por si só, a atividade como insalubre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16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2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Roberto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Balestra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Revoga dispositivo da Lei de participação dos trabalhadores nos lucros e resultados que proíbe a utilização das metas referentes à saúde e segurança no trabalho como critério para fixar tal participação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17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3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Roberto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Balestra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Acrescenta dispositivo à CLT a fim de estabelecer que o período gasto em transporte fornecido pelo empregador rural não integra a jornada, ainda que em local de difícil acesso.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18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4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Manoel Junior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Prorroga para dez anos o prazo para a 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implementação</w:t>
            </w:r>
            <w:proofErr w:type="gramEnd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 do sistema nacional de controle de medicamentos (Lei nº 11.903/2009)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19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5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Laudivio</w:t>
              </w:r>
              <w:proofErr w:type="spellEnd"/>
              <w:r w:rsidRPr="00575859">
                <w:rPr>
                  <w:rFonts w:ascii="Garamond" w:hAnsi="Garamond"/>
                  <w:sz w:val="24"/>
                  <w:szCs w:val="24"/>
                </w:rPr>
                <w:t xml:space="preserve"> Carvalho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Altera o Código Brasileiro de Trânsito para proibir a circulação de veículos para transporte de passageiros, sem autorização do poder público, acionados por 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smartphones</w:t>
            </w:r>
            <w:proofErr w:type="gramEnd"/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22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6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Ronaldo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Benedet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Exclui a remuneração das horas extras da incidência do Imposto de Renda (Lei 7.713/1988) 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23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7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João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Derly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Prorroga até 31 de dezembro de 2022 a isenção de imposto de importação e IPI incidentes na importação de equipamentos ou materiais esportivos (Lei nº 10.451/2002)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8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André Figueiredo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Determina a aplicação de 10% dos valores recolhidos em multa pelo descumprimento da lei do FGTS em aparelhamento de órgãos de fiscalização do Ministério do Trabalho e Emprego (Lei nº 8.036/1990)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40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19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André Figueiredo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Exclui</w:t>
            </w:r>
            <w:proofErr w:type="gramEnd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 restaurantes, bares, barracas de praia e similares da obrigação de coincidir, no mínimo uma vez a cada três semanas, o repouso semanal remunerado com o domingo (Lei nº 10.101/2002)</w:t>
            </w:r>
          </w:p>
        </w:tc>
      </w:tr>
      <w:tr w:rsidR="004E275C" w:rsidRPr="00575859" w:rsidTr="002E7543">
        <w:trPr>
          <w:tblCellSpacing w:w="0" w:type="dxa"/>
        </w:trPr>
        <w:tc>
          <w:tcPr>
            <w:tcW w:w="224" w:type="pct"/>
            <w:shd w:val="clear" w:color="auto" w:fill="EFEFEF"/>
          </w:tcPr>
          <w:p w:rsidR="004E275C" w:rsidRPr="00575859" w:rsidRDefault="004E275C" w:rsidP="002E7543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43</w:t>
            </w:r>
          </w:p>
        </w:tc>
        <w:tc>
          <w:tcPr>
            <w:tcW w:w="1016" w:type="pct"/>
            <w:shd w:val="clear" w:color="auto" w:fill="EFEFEF"/>
          </w:tcPr>
          <w:p w:rsidR="004E275C" w:rsidRPr="00575859" w:rsidRDefault="004E275C" w:rsidP="002E7543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0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André Figueiredo</w:t>
              </w:r>
            </w:hyperlink>
          </w:p>
        </w:tc>
        <w:tc>
          <w:tcPr>
            <w:tcW w:w="3760" w:type="pct"/>
            <w:shd w:val="clear" w:color="auto" w:fill="EFEFEF"/>
          </w:tcPr>
          <w:p w:rsidR="004E275C" w:rsidRPr="00575859" w:rsidRDefault="004E275C" w:rsidP="002E7543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Cria o Conselho Recursal do Ministério do Trabalho e Emprego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44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1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Manoel Junior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Institui a jornada de trinta horas semanais para psicólogos (Lei nº 4.119/1962)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45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2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Manoel Junior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Institui a jornada de trinta horas para enfermeiros (Lei nº 7.498/1986)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46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Sen. </w:t>
            </w:r>
            <w:hyperlink r:id="rId23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Vanessa Grazziotin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Cria Grupo Nacional de Combate às Fraudes contra o Seguro-Desemprego. Impõe novas penalidades às empresas que fraudarem o seguro-desemprego. Estimula a empresa que mantiver índice de rotatividade abaixo do verificado no setor.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47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Sen. </w:t>
            </w:r>
            <w:hyperlink r:id="rId24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Vanessa Grazziotin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Estabelece contribuição adicional para custeio do FAT para os empregadores que mantenham índice de rotatividade acima da média do setor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48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5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Rogério Marinho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Permite o trabalho aos domingos dos supermercadistas (Decreto nº 27.048/1949, que regulamentou a Lei nº 605/1949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)</w:t>
            </w:r>
            <w:proofErr w:type="gramEnd"/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49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6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Mendonça Filho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Determina o pagamento do abono salarial até o último dia útil do mês seguinte ao mês de aniversário do trabalhador (Lei nº 7.998/1990)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50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7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Mendonça Filho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Fixa em até 0,5% ao ano a remuneração do agente operador do FGTS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51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8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Mendonça Filho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Veda qualquer operação que caracterize repasse de recursos a instituições financeiras, inclusive bancos de 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desenvolvimento</w:t>
            </w:r>
            <w:proofErr w:type="gramEnd"/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52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29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Mendonça Filho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Fixa em 15 o número de representantes no Conselho Curador do FGTS, sendo a presidência exercida de forma rotativa (trabalhadores, empregadores e governo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)</w:t>
            </w:r>
            <w:proofErr w:type="gramEnd"/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61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rPr>
                <w:rFonts w:ascii="Garamond" w:hAnsi="Garamond"/>
                <w:sz w:val="24"/>
                <w:szCs w:val="24"/>
              </w:rPr>
              <w:t xml:space="preserve">Dep. </w:t>
            </w:r>
            <w:hyperlink r:id="rId30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Danilo Forte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a CLT para autorizar jornada facultativa</w:t>
            </w:r>
          </w:p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Permite que as categorias com jornadas diferenciadas realizem horas extras habituais, com adicional de 20% até o total de 8 horas diárias. Somente após, o acréscimo é de 50%, conforme previsto na Constituição.</w:t>
            </w:r>
          </w:p>
          <w:p w:rsidR="002F4CE3" w:rsidRPr="00575859" w:rsidRDefault="002F4CE3" w:rsidP="00575859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Não pode haver prorrogação habitual em atividades insalubres. 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86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31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Giacobo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Dispõe sobre a contratação de fornecimento de energia de consumidores finais com unidades fabris na região da SUDENE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87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32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Giacobo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B7235A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Dispõe sobre a contratação de fornecimento de energia de consumidores finais com unidades fabris na região da SUDENE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88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33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Giacobo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Dispõe sobre contratos de fornecimento de energia da ELETROBRAS na região da SUDENE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97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34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Giovani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Cherini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valores da contribuição sindical para profissionais liberais (CLT)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101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Sen. </w:t>
            </w:r>
            <w:hyperlink r:id="rId35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Paulo Paim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o Estatuto do Idoso (Lei nº 10.741/2003)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102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Sen. </w:t>
            </w:r>
            <w:hyperlink r:id="rId36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Paulo Paim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E32D9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o Regime Jurídico dos Servidores Públicos da União (Lei nº 8.112/1990)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37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Arnaldo Faria de Sá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Exige a assistência do sindicato para rescisão contratual de empregado contratado há mais de noventa dias (Lei nº 5.584/1970)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105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38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Raul Jungmann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E3466F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Estabelece prazo de 24 meses para o Poder Executivo regulamentar o índice de rotatividade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108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39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Andre</w:t>
              </w:r>
              <w:proofErr w:type="spellEnd"/>
              <w:r w:rsidRPr="00575859">
                <w:rPr>
                  <w:rFonts w:ascii="Garamond" w:hAnsi="Garamond"/>
                  <w:sz w:val="24"/>
                  <w:szCs w:val="24"/>
                </w:rPr>
                <w:t xml:space="preserve"> Moura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Altera a lei que instituiu o REINTEGRA (Lei nº 12.546/2011) 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109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0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Andre</w:t>
              </w:r>
              <w:proofErr w:type="spellEnd"/>
              <w:r w:rsidRPr="00575859">
                <w:rPr>
                  <w:rFonts w:ascii="Garamond" w:hAnsi="Garamond"/>
                  <w:sz w:val="24"/>
                  <w:szCs w:val="24"/>
                </w:rPr>
                <w:t xml:space="preserve"> Moura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866A0F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tabela do imposto de renda da pessoa física (Lei nº 11.482/2007), lei do imposto de renda (Lei nº 7.713/1988), lei que altera o imposto de renda (Lei nº 9.250/1995</w:t>
            </w: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)</w:t>
            </w:r>
            <w:proofErr w:type="gramEnd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 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116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1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Andre</w:t>
              </w:r>
              <w:proofErr w:type="spellEnd"/>
              <w:r w:rsidRPr="00575859">
                <w:rPr>
                  <w:rFonts w:ascii="Garamond" w:hAnsi="Garamond"/>
                  <w:sz w:val="24"/>
                  <w:szCs w:val="24"/>
                </w:rPr>
                <w:t xml:space="preserve"> Moura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Dispõe sobre parcelamento de dívida de entidades desportivas (Lei nº 11.345/2006)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119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2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João Fernando Coutinho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anexo da lei orçamentária anual (Lei nº 13.115/2015)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121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3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Junior Marreca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valores da contribuição sindical para profissionais liberais (CLT)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125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4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Glauber Braga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Estabelece prazo de 24 meses para o Poder Executivo regulamentar o índice de rotatividade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126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5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Glauber Braga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valores da contribuição sindical para profissionais liberais (CLT)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128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6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Afonso Florence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o regime diferenciado de contratações públicas – RDC (Lei nº 12.462/2011)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129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7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Afonso Florence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Estabelece que a criação de emprego em comissão em empresas públicas e sociedades de economia mista é competência do Conselho de Administração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130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8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Fernando Monteiro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Altera o texto da MP a fim de instituir nova forma de contratação de empregados para as empresas de comércio varejista. </w:t>
            </w:r>
          </w:p>
          <w:p w:rsidR="002F4CE3" w:rsidRPr="00575859" w:rsidRDefault="002F4CE3" w:rsidP="00FF01F9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Dispõe sobre jornada diferenciada, negociada individualmente, redução de alíquotas de INSS e FGTS.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133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49" w:tooltip="Clique para ver o texto integral da emenda" w:history="1"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Leandre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Faculta a dedução do imposto de renda de valores doados a ações e serviços aprovados pelo Ministério da Saúde (Lei nº 12.715/2012)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139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50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Valdir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Colatto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Dispõe que os depósitos do FGTS serão remunerados com os mesmos parâmetros que a poupança (Lei nº 8.036/1990)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140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51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Valdir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Colatto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Determina a redução em 50% do número total de cargos do Poder Executivo em noventa dias 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141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52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Valdir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Colatto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a Lei de Política Agrícola (Lei nº 8.171/1991)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142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53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>André Figueiredo</w:t>
              </w:r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proofErr w:type="gramStart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Exclui</w:t>
            </w:r>
            <w:proofErr w:type="gramEnd"/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 xml:space="preserve"> restaurantes, bares, barracas de praia e similares da obrigação de coincidir, no mínimo uma vez a cada três semanas, o repouso semanal remunerado com o domingo (Lei nº 10.101/2002)</w:t>
            </w:r>
          </w:p>
        </w:tc>
      </w:tr>
      <w:tr w:rsidR="002F4CE3" w:rsidRPr="00575859" w:rsidTr="00420571">
        <w:trPr>
          <w:tblCellSpacing w:w="0" w:type="dxa"/>
        </w:trPr>
        <w:tc>
          <w:tcPr>
            <w:tcW w:w="224" w:type="pct"/>
            <w:shd w:val="clear" w:color="auto" w:fill="EFEFEF"/>
            <w:hideMark/>
          </w:tcPr>
          <w:p w:rsidR="002F4CE3" w:rsidRPr="00575859" w:rsidRDefault="002F4CE3" w:rsidP="000514A1">
            <w:pPr>
              <w:jc w:val="center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174</w:t>
            </w:r>
          </w:p>
        </w:tc>
        <w:tc>
          <w:tcPr>
            <w:tcW w:w="1016" w:type="pct"/>
            <w:shd w:val="clear" w:color="auto" w:fill="EFEFEF"/>
            <w:hideMark/>
          </w:tcPr>
          <w:p w:rsidR="002F4CE3" w:rsidRPr="00575859" w:rsidRDefault="002F4CE3" w:rsidP="000514A1">
            <w:pPr>
              <w:rPr>
                <w:rFonts w:ascii="Garamond" w:hAnsi="Garamond"/>
                <w:sz w:val="24"/>
                <w:szCs w:val="24"/>
              </w:rPr>
            </w:pPr>
            <w:r w:rsidRPr="00575859">
              <w:t xml:space="preserve">Dep. </w:t>
            </w:r>
            <w:hyperlink r:id="rId54" w:tooltip="Clique para ver o texto integral da emenda" w:history="1">
              <w:r w:rsidRPr="00575859">
                <w:rPr>
                  <w:rFonts w:ascii="Garamond" w:hAnsi="Garamond"/>
                  <w:sz w:val="24"/>
                  <w:szCs w:val="24"/>
                </w:rPr>
                <w:t xml:space="preserve">Alfredo </w:t>
              </w:r>
              <w:proofErr w:type="spellStart"/>
              <w:r w:rsidRPr="00575859">
                <w:rPr>
                  <w:rFonts w:ascii="Garamond" w:hAnsi="Garamond"/>
                  <w:sz w:val="24"/>
                  <w:szCs w:val="24"/>
                </w:rPr>
                <w:t>Kaefer</w:t>
              </w:r>
              <w:proofErr w:type="spellEnd"/>
            </w:hyperlink>
          </w:p>
        </w:tc>
        <w:tc>
          <w:tcPr>
            <w:tcW w:w="3760" w:type="pct"/>
            <w:shd w:val="clear" w:color="auto" w:fill="EFEFEF"/>
            <w:hideMark/>
          </w:tcPr>
          <w:p w:rsidR="002F4CE3" w:rsidRPr="00575859" w:rsidRDefault="002F4CE3" w:rsidP="000514A1">
            <w:pPr>
              <w:jc w:val="both"/>
              <w:rPr>
                <w:rFonts w:ascii="Garamond" w:hAnsi="Garamond"/>
                <w:color w:val="3A3A3A"/>
                <w:sz w:val="24"/>
                <w:szCs w:val="24"/>
              </w:rPr>
            </w:pPr>
            <w:r w:rsidRPr="00575859">
              <w:rPr>
                <w:rFonts w:ascii="Garamond" w:hAnsi="Garamond"/>
                <w:color w:val="3A3A3A"/>
                <w:sz w:val="24"/>
                <w:szCs w:val="24"/>
              </w:rPr>
              <w:t>Altera a Lei do REINTEGRA (Lei nº 12.546/2011)</w:t>
            </w:r>
          </w:p>
        </w:tc>
      </w:tr>
    </w:tbl>
    <w:p w:rsidR="001D1A45" w:rsidRDefault="001D1A45" w:rsidP="002F4CE3">
      <w:pPr>
        <w:pStyle w:val="NDOCUMENTO"/>
        <w:rPr>
          <w:sz w:val="16"/>
        </w:rPr>
      </w:pPr>
    </w:p>
    <w:p w:rsidR="00A77907" w:rsidRDefault="00A77907" w:rsidP="00A77907">
      <w:pPr>
        <w:pStyle w:val="NDOCUMENTO"/>
        <w:spacing w:after="0" w:line="240" w:lineRule="auto"/>
        <w:jc w:val="center"/>
        <w:rPr>
          <w:b/>
          <w:sz w:val="24"/>
          <w:szCs w:val="24"/>
        </w:rPr>
      </w:pPr>
    </w:p>
    <w:p w:rsidR="00A77907" w:rsidRDefault="00A77907" w:rsidP="00A77907">
      <w:pPr>
        <w:pStyle w:val="NDOCUMENTO"/>
        <w:spacing w:after="0" w:line="240" w:lineRule="auto"/>
        <w:jc w:val="center"/>
        <w:rPr>
          <w:b/>
          <w:sz w:val="24"/>
          <w:szCs w:val="24"/>
        </w:rPr>
      </w:pPr>
    </w:p>
    <w:p w:rsidR="000A6E63" w:rsidRDefault="000A6E63" w:rsidP="00A77907">
      <w:pPr>
        <w:pStyle w:val="NDOCUMENTO"/>
        <w:spacing w:after="0" w:line="240" w:lineRule="auto"/>
        <w:jc w:val="center"/>
        <w:rPr>
          <w:b/>
          <w:sz w:val="24"/>
          <w:szCs w:val="24"/>
        </w:rPr>
      </w:pPr>
    </w:p>
    <w:p w:rsidR="00A77907" w:rsidRPr="00A77907" w:rsidRDefault="00A77907" w:rsidP="00A77907">
      <w:pPr>
        <w:pStyle w:val="NDOCUMENTO"/>
        <w:spacing w:after="0" w:line="240" w:lineRule="auto"/>
        <w:jc w:val="center"/>
        <w:rPr>
          <w:b/>
          <w:sz w:val="24"/>
          <w:szCs w:val="24"/>
        </w:rPr>
      </w:pPr>
      <w:r w:rsidRPr="00A77907">
        <w:rPr>
          <w:b/>
          <w:sz w:val="24"/>
          <w:szCs w:val="24"/>
        </w:rPr>
        <w:t>SENADOR SÉRGIO PETECÃO</w:t>
      </w:r>
    </w:p>
    <w:p w:rsidR="00A77907" w:rsidRPr="00A77907" w:rsidRDefault="00A77907" w:rsidP="00A77907">
      <w:pPr>
        <w:pStyle w:val="NDOCUMENTO"/>
        <w:spacing w:after="0" w:line="240" w:lineRule="auto"/>
        <w:jc w:val="center"/>
        <w:rPr>
          <w:b/>
          <w:sz w:val="24"/>
          <w:szCs w:val="24"/>
        </w:rPr>
      </w:pPr>
      <w:r w:rsidRPr="00A77907">
        <w:rPr>
          <w:b/>
          <w:sz w:val="24"/>
          <w:szCs w:val="24"/>
        </w:rPr>
        <w:t>PSD/AC</w:t>
      </w:r>
    </w:p>
    <w:p w:rsidR="00A77907" w:rsidRPr="00A77907" w:rsidRDefault="00A77907" w:rsidP="00A77907">
      <w:pPr>
        <w:pStyle w:val="NDOCUMENTO"/>
        <w:spacing w:after="0" w:line="240" w:lineRule="auto"/>
        <w:jc w:val="center"/>
        <w:rPr>
          <w:b/>
          <w:sz w:val="24"/>
          <w:szCs w:val="24"/>
        </w:rPr>
      </w:pPr>
      <w:r w:rsidRPr="00A77907">
        <w:rPr>
          <w:b/>
          <w:sz w:val="24"/>
          <w:szCs w:val="24"/>
        </w:rPr>
        <w:t>Presidente da CMMPV 680/2015</w:t>
      </w:r>
    </w:p>
    <w:sectPr w:rsidR="00A77907" w:rsidRPr="00A77907" w:rsidSect="000A6E63">
      <w:footerReference w:type="default" r:id="rId55"/>
      <w:pgSz w:w="11908" w:h="16833"/>
      <w:pgMar w:top="1134" w:right="1701" w:bottom="1560" w:left="1701" w:header="1134" w:footer="79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83" w:rsidRDefault="004B6983">
      <w:r>
        <w:separator/>
      </w:r>
    </w:p>
  </w:endnote>
  <w:endnote w:type="continuationSeparator" w:id="0">
    <w:p w:rsidR="004B6983" w:rsidRDefault="004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27358"/>
      <w:docPartObj>
        <w:docPartGallery w:val="Page Numbers (Bottom of Page)"/>
        <w:docPartUnique/>
      </w:docPartObj>
    </w:sdtPr>
    <w:sdtEndPr/>
    <w:sdtContent>
      <w:p w:rsidR="00DF796C" w:rsidRDefault="00DF79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63">
          <w:rPr>
            <w:noProof/>
          </w:rPr>
          <w:t>1</w:t>
        </w:r>
        <w:r>
          <w:fldChar w:fldCharType="end"/>
        </w:r>
      </w:p>
    </w:sdtContent>
  </w:sdt>
  <w:p w:rsidR="00DF796C" w:rsidRDefault="00DF79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83" w:rsidRDefault="004B6983">
      <w:r>
        <w:separator/>
      </w:r>
    </w:p>
  </w:footnote>
  <w:footnote w:type="continuationSeparator" w:id="0">
    <w:p w:rsidR="004B6983" w:rsidRDefault="004B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8C8"/>
    <w:multiLevelType w:val="hybridMultilevel"/>
    <w:tmpl w:val="48204886"/>
    <w:lvl w:ilvl="0" w:tplc="2E5CFDD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BA83143"/>
    <w:multiLevelType w:val="singleLevel"/>
    <w:tmpl w:val="071AB9CA"/>
    <w:lvl w:ilvl="0"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</w:abstractNum>
  <w:abstractNum w:abstractNumId="2">
    <w:nsid w:val="6EAC084B"/>
    <w:multiLevelType w:val="hybridMultilevel"/>
    <w:tmpl w:val="DFDE063A"/>
    <w:lvl w:ilvl="0" w:tplc="9B569F4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23"/>
    <w:rsid w:val="000053A0"/>
    <w:rsid w:val="000058FA"/>
    <w:rsid w:val="000133CE"/>
    <w:rsid w:val="000335F6"/>
    <w:rsid w:val="00050823"/>
    <w:rsid w:val="000514A1"/>
    <w:rsid w:val="00055A98"/>
    <w:rsid w:val="00056F47"/>
    <w:rsid w:val="000572A0"/>
    <w:rsid w:val="000628CB"/>
    <w:rsid w:val="000903A8"/>
    <w:rsid w:val="000A6E63"/>
    <w:rsid w:val="000C1E1F"/>
    <w:rsid w:val="000C3C6E"/>
    <w:rsid w:val="000D472D"/>
    <w:rsid w:val="000D60CF"/>
    <w:rsid w:val="00172361"/>
    <w:rsid w:val="00177535"/>
    <w:rsid w:val="00180D9C"/>
    <w:rsid w:val="001A0E79"/>
    <w:rsid w:val="001A61A2"/>
    <w:rsid w:val="001B0537"/>
    <w:rsid w:val="001D1A45"/>
    <w:rsid w:val="00203749"/>
    <w:rsid w:val="00257AAD"/>
    <w:rsid w:val="00273ABE"/>
    <w:rsid w:val="00294BDA"/>
    <w:rsid w:val="002A0AB3"/>
    <w:rsid w:val="002C4C0F"/>
    <w:rsid w:val="002C7805"/>
    <w:rsid w:val="002F4CE3"/>
    <w:rsid w:val="00333E68"/>
    <w:rsid w:val="00381FFA"/>
    <w:rsid w:val="00385D9D"/>
    <w:rsid w:val="00392811"/>
    <w:rsid w:val="003F0623"/>
    <w:rsid w:val="00420571"/>
    <w:rsid w:val="004543EA"/>
    <w:rsid w:val="0045605D"/>
    <w:rsid w:val="0046672D"/>
    <w:rsid w:val="00467D32"/>
    <w:rsid w:val="004B6983"/>
    <w:rsid w:val="004C4235"/>
    <w:rsid w:val="004D0F04"/>
    <w:rsid w:val="004E275C"/>
    <w:rsid w:val="00506665"/>
    <w:rsid w:val="005154A8"/>
    <w:rsid w:val="005255E6"/>
    <w:rsid w:val="005619AA"/>
    <w:rsid w:val="00575859"/>
    <w:rsid w:val="0057729D"/>
    <w:rsid w:val="005803F0"/>
    <w:rsid w:val="00587492"/>
    <w:rsid w:val="00592451"/>
    <w:rsid w:val="005A333D"/>
    <w:rsid w:val="005C7546"/>
    <w:rsid w:val="005D5DC6"/>
    <w:rsid w:val="0061005C"/>
    <w:rsid w:val="0063254A"/>
    <w:rsid w:val="0063272D"/>
    <w:rsid w:val="00633A37"/>
    <w:rsid w:val="006349B3"/>
    <w:rsid w:val="00641D9D"/>
    <w:rsid w:val="00645559"/>
    <w:rsid w:val="006568FF"/>
    <w:rsid w:val="00663246"/>
    <w:rsid w:val="00667FD1"/>
    <w:rsid w:val="006846CA"/>
    <w:rsid w:val="006A53A4"/>
    <w:rsid w:val="006B2211"/>
    <w:rsid w:val="006C01F4"/>
    <w:rsid w:val="006F35CC"/>
    <w:rsid w:val="006F6E46"/>
    <w:rsid w:val="006F7BD7"/>
    <w:rsid w:val="007029A1"/>
    <w:rsid w:val="00704E3F"/>
    <w:rsid w:val="00723FE7"/>
    <w:rsid w:val="00774610"/>
    <w:rsid w:val="00774BDF"/>
    <w:rsid w:val="007A4868"/>
    <w:rsid w:val="007D13F0"/>
    <w:rsid w:val="007E7962"/>
    <w:rsid w:val="007F5784"/>
    <w:rsid w:val="00805BE7"/>
    <w:rsid w:val="00811A7F"/>
    <w:rsid w:val="00850A69"/>
    <w:rsid w:val="00856FB7"/>
    <w:rsid w:val="008649D2"/>
    <w:rsid w:val="00866A0F"/>
    <w:rsid w:val="00886F9E"/>
    <w:rsid w:val="008A39C5"/>
    <w:rsid w:val="008A699A"/>
    <w:rsid w:val="008B6D95"/>
    <w:rsid w:val="008C7FDC"/>
    <w:rsid w:val="008D723A"/>
    <w:rsid w:val="009008BC"/>
    <w:rsid w:val="0091139D"/>
    <w:rsid w:val="009431EA"/>
    <w:rsid w:val="00971572"/>
    <w:rsid w:val="00974F85"/>
    <w:rsid w:val="009B061D"/>
    <w:rsid w:val="009D1ABA"/>
    <w:rsid w:val="00A440E0"/>
    <w:rsid w:val="00A70CF2"/>
    <w:rsid w:val="00A77907"/>
    <w:rsid w:val="00A82E8F"/>
    <w:rsid w:val="00AA4F97"/>
    <w:rsid w:val="00AB534B"/>
    <w:rsid w:val="00AE2E1E"/>
    <w:rsid w:val="00B0167B"/>
    <w:rsid w:val="00B06215"/>
    <w:rsid w:val="00B51912"/>
    <w:rsid w:val="00B55B1D"/>
    <w:rsid w:val="00B7235A"/>
    <w:rsid w:val="00B96891"/>
    <w:rsid w:val="00BC1031"/>
    <w:rsid w:val="00BD6B71"/>
    <w:rsid w:val="00C541FE"/>
    <w:rsid w:val="00C57FB2"/>
    <w:rsid w:val="00C66595"/>
    <w:rsid w:val="00CD2BBD"/>
    <w:rsid w:val="00CF3A79"/>
    <w:rsid w:val="00D04929"/>
    <w:rsid w:val="00D5017D"/>
    <w:rsid w:val="00D93775"/>
    <w:rsid w:val="00D9592E"/>
    <w:rsid w:val="00DB37F4"/>
    <w:rsid w:val="00DE4714"/>
    <w:rsid w:val="00DF796C"/>
    <w:rsid w:val="00E25F4D"/>
    <w:rsid w:val="00E32D91"/>
    <w:rsid w:val="00E3466F"/>
    <w:rsid w:val="00E614B2"/>
    <w:rsid w:val="00E64859"/>
    <w:rsid w:val="00E66E04"/>
    <w:rsid w:val="00E82E22"/>
    <w:rsid w:val="00EF0198"/>
    <w:rsid w:val="00F2339B"/>
    <w:rsid w:val="00F23C50"/>
    <w:rsid w:val="00F3036C"/>
    <w:rsid w:val="00F63926"/>
    <w:rsid w:val="00F74B71"/>
    <w:rsid w:val="00F763C6"/>
    <w:rsid w:val="00FA2F8B"/>
    <w:rsid w:val="00FE6135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spacing w:line="360" w:lineRule="exact"/>
      <w:ind w:left="1701" w:hanging="1701"/>
      <w:jc w:val="center"/>
      <w:outlineLvl w:val="2"/>
    </w:pPr>
    <w:rPr>
      <w:rFonts w:ascii="Arial Black" w:hAnsi="Arial Black"/>
      <w:sz w:val="36"/>
    </w:rPr>
  </w:style>
  <w:style w:type="paragraph" w:styleId="Ttulo4">
    <w:name w:val="heading 4"/>
    <w:basedOn w:val="Normal"/>
    <w:next w:val="Normal"/>
    <w:qFormat/>
    <w:pPr>
      <w:keepNext/>
      <w:spacing w:after="120"/>
      <w:jc w:val="both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spacing w:after="60"/>
      <w:ind w:right="255"/>
      <w:jc w:val="center"/>
      <w:outlineLvl w:val="5"/>
    </w:pPr>
    <w:rPr>
      <w:rFonts w:ascii="Arial Black" w:hAnsi="Arial Black"/>
      <w:snapToGrid w:val="0"/>
      <w:color w:val="000000"/>
      <w:sz w:val="44"/>
    </w:rPr>
  </w:style>
  <w:style w:type="paragraph" w:styleId="Ttulo7">
    <w:name w:val="heading 7"/>
    <w:basedOn w:val="Normal"/>
    <w:next w:val="Normal"/>
    <w:qFormat/>
    <w:pPr>
      <w:keepNext/>
      <w:spacing w:before="120"/>
      <w:jc w:val="both"/>
      <w:outlineLvl w:val="6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60" w:line="300" w:lineRule="atLeast"/>
    </w:pPr>
    <w:rPr>
      <w:rFonts w:ascii="Garamond" w:hAnsi="Garamond"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Garamond" w:hAnsi="Garamond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">
    <w:name w:val="corpo padrão"/>
    <w:basedOn w:val="Recuodecorpodetexto"/>
    <w:pPr>
      <w:spacing w:after="120"/>
      <w:ind w:firstLine="2268"/>
    </w:pPr>
    <w:rPr>
      <w:rFonts w:ascii="Garamond" w:hAnsi="Garamond"/>
    </w:rPr>
  </w:style>
  <w:style w:type="paragraph" w:customStyle="1" w:styleId="NomedoConsultor-capa">
    <w:name w:val="Nome do Consultor-capa"/>
    <w:basedOn w:val="corpopadro"/>
    <w:next w:val="corpopadro"/>
    <w:pPr>
      <w:widowControl/>
      <w:spacing w:after="0" w:line="260" w:lineRule="atLeast"/>
      <w:ind w:right="28" w:firstLine="0"/>
      <w:jc w:val="right"/>
    </w:pPr>
    <w:rPr>
      <w:i/>
      <w:smallCaps/>
      <w:color w:val="auto"/>
      <w:sz w:val="22"/>
    </w:rPr>
  </w:style>
  <w:style w:type="paragraph" w:customStyle="1" w:styleId="TRANSCRIO">
    <w:name w:val="TRANSCRIÇÃO"/>
    <w:basedOn w:val="Normal"/>
    <w:pPr>
      <w:widowControl w:val="0"/>
      <w:spacing w:after="80" w:line="280" w:lineRule="exact"/>
      <w:ind w:left="2268" w:firstLine="567"/>
      <w:jc w:val="both"/>
    </w:pPr>
    <w:rPr>
      <w:rFonts w:ascii="Garamond" w:hAnsi="Garamond"/>
      <w:i/>
      <w:snapToGrid w:val="0"/>
      <w:color w:val="000000"/>
      <w:sz w:val="24"/>
    </w:rPr>
  </w:style>
  <w:style w:type="paragraph" w:customStyle="1" w:styleId="Matria">
    <w:name w:val="Matéria"/>
    <w:basedOn w:val="corpopadro"/>
    <w:next w:val="corpopadro"/>
    <w:pPr>
      <w:spacing w:after="60"/>
      <w:ind w:left="-993" w:firstLine="0"/>
      <w:jc w:val="center"/>
    </w:pPr>
    <w:rPr>
      <w:rFonts w:ascii="Arial Black" w:hAnsi="Arial Black"/>
    </w:rPr>
  </w:style>
  <w:style w:type="paragraph" w:customStyle="1" w:styleId="item">
    <w:name w:val="item"/>
    <w:basedOn w:val="Ttulo2"/>
    <w:pPr>
      <w:pBdr>
        <w:bottom w:val="single" w:sz="4" w:space="1" w:color="auto"/>
      </w:pBdr>
      <w:spacing w:before="240" w:after="240" w:line="360" w:lineRule="exact"/>
      <w:jc w:val="left"/>
    </w:pPr>
    <w:rPr>
      <w:rFonts w:ascii="Garamond" w:hAnsi="Garamond"/>
      <w:caps/>
      <w:sz w:val="24"/>
    </w:rPr>
  </w:style>
  <w:style w:type="paragraph" w:customStyle="1" w:styleId="Subitem">
    <w:name w:val="Subitem"/>
    <w:basedOn w:val="Normal"/>
    <w:pPr>
      <w:keepNext/>
      <w:spacing w:before="240" w:after="240"/>
      <w:ind w:firstLine="142"/>
    </w:pPr>
    <w:rPr>
      <w:rFonts w:ascii="Garamond" w:hAnsi="Garamond"/>
      <w:b/>
    </w:rPr>
  </w:style>
  <w:style w:type="paragraph" w:styleId="Corpodetexto2">
    <w:name w:val="Body Text 2"/>
    <w:basedOn w:val="Normal"/>
    <w:semiHidden/>
    <w:pPr>
      <w:spacing w:after="60" w:line="300" w:lineRule="atLeast"/>
      <w:jc w:val="both"/>
    </w:pPr>
    <w:rPr>
      <w:rFonts w:ascii="Garamond" w:hAnsi="Garamond"/>
      <w:sz w:val="22"/>
    </w:rPr>
  </w:style>
  <w:style w:type="paragraph" w:customStyle="1" w:styleId="nmerocapa">
    <w:name w:val="número capa"/>
    <w:basedOn w:val="Normal"/>
    <w:pPr>
      <w:ind w:firstLine="1"/>
      <w:jc w:val="center"/>
    </w:pPr>
    <w:rPr>
      <w:rFonts w:ascii="Arial Black" w:hAnsi="Arial Black"/>
      <w:b/>
      <w:sz w:val="4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after="120" w:line="360" w:lineRule="exact"/>
      <w:ind w:firstLine="2325"/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pPr>
      <w:jc w:val="both"/>
    </w:pPr>
    <w:rPr>
      <w:rFonts w:ascii="Garamond" w:hAnsi="Garamond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6A53A4"/>
    <w:pPr>
      <w:spacing w:after="120" w:line="360" w:lineRule="exact"/>
      <w:jc w:val="both"/>
    </w:pPr>
    <w:rPr>
      <w:rFonts w:ascii="Arial" w:hAnsi="Arial"/>
      <w:sz w:val="24"/>
    </w:rPr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uiPriority w:val="39"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Data">
    <w:name w:val="Date"/>
    <w:basedOn w:val="Normal"/>
    <w:next w:val="Normal"/>
    <w:semiHidden/>
    <w:pPr>
      <w:ind w:right="171"/>
      <w:jc w:val="center"/>
    </w:pPr>
    <w:rPr>
      <w:rFonts w:ascii="Arial Black" w:hAnsi="Arial Black"/>
      <w:caps/>
      <w:noProof/>
      <w:sz w:val="24"/>
    </w:rPr>
  </w:style>
  <w:style w:type="paragraph" w:customStyle="1" w:styleId="NDOCUMENTO">
    <w:name w:val="Nº DOCUMENTO"/>
    <w:basedOn w:val="Normal"/>
    <w:pPr>
      <w:widowControl w:val="0"/>
      <w:spacing w:after="60" w:line="480" w:lineRule="exact"/>
      <w:jc w:val="both"/>
    </w:pPr>
    <w:rPr>
      <w:rFonts w:ascii="Garamond" w:hAnsi="Garamond"/>
      <w:snapToGrid w:val="0"/>
      <w:color w:val="000000"/>
      <w:sz w:val="12"/>
    </w:rPr>
  </w:style>
  <w:style w:type="paragraph" w:customStyle="1" w:styleId="TTULOCAPA">
    <w:name w:val="TÍTULO CAPA"/>
    <w:basedOn w:val="Ttulo3"/>
    <w:pPr>
      <w:spacing w:before="240" w:after="240"/>
      <w:ind w:left="-1134" w:firstLine="0"/>
    </w:pPr>
    <w:rPr>
      <w:b/>
      <w:snapToGrid w:val="0"/>
      <w:sz w:val="52"/>
    </w:rPr>
  </w:style>
  <w:style w:type="paragraph" w:customStyle="1" w:styleId="rea">
    <w:name w:val="Área"/>
    <w:basedOn w:val="Matria"/>
    <w:pPr>
      <w:spacing w:after="0"/>
      <w:ind w:left="0" w:right="28"/>
      <w:jc w:val="right"/>
    </w:pPr>
    <w:rPr>
      <w:rFonts w:ascii="Garamond" w:hAnsi="Garamond"/>
      <w:sz w:val="22"/>
    </w:rPr>
  </w:style>
  <w:style w:type="paragraph" w:customStyle="1" w:styleId="Nomedarea">
    <w:name w:val="Nome da Área"/>
    <w:basedOn w:val="Matria"/>
    <w:pPr>
      <w:ind w:left="0" w:right="30"/>
      <w:jc w:val="right"/>
    </w:pPr>
    <w:rPr>
      <w:rFonts w:ascii="Garamond" w:hAnsi="Garamond"/>
      <w:sz w:val="22"/>
    </w:rPr>
  </w:style>
  <w:style w:type="paragraph" w:customStyle="1" w:styleId="nomeconsultorcabealho">
    <w:name w:val="nome_consultor_cabeçalho"/>
    <w:basedOn w:val="Normal"/>
    <w:pPr>
      <w:widowControl w:val="0"/>
      <w:pBdr>
        <w:bottom w:val="single" w:sz="4" w:space="1" w:color="auto"/>
      </w:pBdr>
      <w:tabs>
        <w:tab w:val="right" w:pos="8789"/>
      </w:tabs>
    </w:pPr>
    <w:rPr>
      <w:rFonts w:ascii="Garamond" w:hAnsi="Garamond"/>
      <w:b/>
    </w:rPr>
  </w:style>
  <w:style w:type="paragraph" w:customStyle="1" w:styleId="ttulocabealho">
    <w:name w:val="título_cabeçalho"/>
    <w:basedOn w:val="Ttulo3"/>
    <w:pPr>
      <w:keepNext w:val="0"/>
      <w:pBdr>
        <w:top w:val="single" w:sz="4" w:space="1" w:color="auto"/>
      </w:pBdr>
      <w:tabs>
        <w:tab w:val="right" w:pos="7513"/>
      </w:tabs>
      <w:ind w:left="0" w:firstLine="0"/>
      <w:jc w:val="left"/>
    </w:pPr>
    <w:rPr>
      <w:rFonts w:ascii="Garamond" w:hAnsi="Garamond"/>
      <w:b/>
      <w:sz w:val="20"/>
    </w:rPr>
  </w:style>
  <w:style w:type="paragraph" w:customStyle="1" w:styleId="ttuloinciopgina">
    <w:name w:val="título_início_página"/>
    <w:basedOn w:val="corpopadro"/>
    <w:pPr>
      <w:keepNext/>
      <w:spacing w:before="720" w:after="720"/>
      <w:ind w:firstLine="0"/>
      <w:jc w:val="center"/>
    </w:pPr>
    <w:rPr>
      <w:rFonts w:ascii="Arial Black" w:hAnsi="Arial Black"/>
      <w:sz w:val="32"/>
    </w:rPr>
  </w:style>
  <w:style w:type="character" w:styleId="TtulodoLivro">
    <w:name w:val="Book Title"/>
    <w:basedOn w:val="Fontepargpadro"/>
    <w:uiPriority w:val="33"/>
    <w:qFormat/>
    <w:rsid w:val="006F7BD7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6F7BD7"/>
  </w:style>
  <w:style w:type="paragraph" w:styleId="CabealhodoSumrio">
    <w:name w:val="TOC Heading"/>
    <w:basedOn w:val="Ttulo1"/>
    <w:next w:val="Normal"/>
    <w:uiPriority w:val="39"/>
    <w:unhideWhenUsed/>
    <w:qFormat/>
    <w:rsid w:val="00B5191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Fontepargpadro"/>
    <w:uiPriority w:val="99"/>
    <w:unhideWhenUsed/>
    <w:rsid w:val="00B519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9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91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619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19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19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19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19AA"/>
    <w:rPr>
      <w:b/>
      <w:bCs/>
    </w:rPr>
  </w:style>
  <w:style w:type="character" w:styleId="Forte">
    <w:name w:val="Strong"/>
    <w:basedOn w:val="Fontepargpadro"/>
    <w:uiPriority w:val="22"/>
    <w:qFormat/>
    <w:rsid w:val="0061005C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55B1D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spacing w:line="360" w:lineRule="exact"/>
      <w:ind w:left="1701" w:hanging="1701"/>
      <w:jc w:val="center"/>
      <w:outlineLvl w:val="2"/>
    </w:pPr>
    <w:rPr>
      <w:rFonts w:ascii="Arial Black" w:hAnsi="Arial Black"/>
      <w:sz w:val="36"/>
    </w:rPr>
  </w:style>
  <w:style w:type="paragraph" w:styleId="Ttulo4">
    <w:name w:val="heading 4"/>
    <w:basedOn w:val="Normal"/>
    <w:next w:val="Normal"/>
    <w:qFormat/>
    <w:pPr>
      <w:keepNext/>
      <w:spacing w:after="120"/>
      <w:jc w:val="both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spacing w:after="60"/>
      <w:ind w:right="255"/>
      <w:jc w:val="center"/>
      <w:outlineLvl w:val="5"/>
    </w:pPr>
    <w:rPr>
      <w:rFonts w:ascii="Arial Black" w:hAnsi="Arial Black"/>
      <w:snapToGrid w:val="0"/>
      <w:color w:val="000000"/>
      <w:sz w:val="44"/>
    </w:rPr>
  </w:style>
  <w:style w:type="paragraph" w:styleId="Ttulo7">
    <w:name w:val="heading 7"/>
    <w:basedOn w:val="Normal"/>
    <w:next w:val="Normal"/>
    <w:qFormat/>
    <w:pPr>
      <w:keepNext/>
      <w:spacing w:before="120"/>
      <w:jc w:val="both"/>
      <w:outlineLvl w:val="6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60" w:line="300" w:lineRule="atLeast"/>
    </w:pPr>
    <w:rPr>
      <w:rFonts w:ascii="Garamond" w:hAnsi="Garamond"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Garamond" w:hAnsi="Garamond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">
    <w:name w:val="corpo padrão"/>
    <w:basedOn w:val="Recuodecorpodetexto"/>
    <w:pPr>
      <w:spacing w:after="120"/>
      <w:ind w:firstLine="2268"/>
    </w:pPr>
    <w:rPr>
      <w:rFonts w:ascii="Garamond" w:hAnsi="Garamond"/>
    </w:rPr>
  </w:style>
  <w:style w:type="paragraph" w:customStyle="1" w:styleId="NomedoConsultor-capa">
    <w:name w:val="Nome do Consultor-capa"/>
    <w:basedOn w:val="corpopadro"/>
    <w:next w:val="corpopadro"/>
    <w:pPr>
      <w:widowControl/>
      <w:spacing w:after="0" w:line="260" w:lineRule="atLeast"/>
      <w:ind w:right="28" w:firstLine="0"/>
      <w:jc w:val="right"/>
    </w:pPr>
    <w:rPr>
      <w:i/>
      <w:smallCaps/>
      <w:color w:val="auto"/>
      <w:sz w:val="22"/>
    </w:rPr>
  </w:style>
  <w:style w:type="paragraph" w:customStyle="1" w:styleId="TRANSCRIO">
    <w:name w:val="TRANSCRIÇÃO"/>
    <w:basedOn w:val="Normal"/>
    <w:pPr>
      <w:widowControl w:val="0"/>
      <w:spacing w:after="80" w:line="280" w:lineRule="exact"/>
      <w:ind w:left="2268" w:firstLine="567"/>
      <w:jc w:val="both"/>
    </w:pPr>
    <w:rPr>
      <w:rFonts w:ascii="Garamond" w:hAnsi="Garamond"/>
      <w:i/>
      <w:snapToGrid w:val="0"/>
      <w:color w:val="000000"/>
      <w:sz w:val="24"/>
    </w:rPr>
  </w:style>
  <w:style w:type="paragraph" w:customStyle="1" w:styleId="Matria">
    <w:name w:val="Matéria"/>
    <w:basedOn w:val="corpopadro"/>
    <w:next w:val="corpopadro"/>
    <w:pPr>
      <w:spacing w:after="60"/>
      <w:ind w:left="-993" w:firstLine="0"/>
      <w:jc w:val="center"/>
    </w:pPr>
    <w:rPr>
      <w:rFonts w:ascii="Arial Black" w:hAnsi="Arial Black"/>
    </w:rPr>
  </w:style>
  <w:style w:type="paragraph" w:customStyle="1" w:styleId="item">
    <w:name w:val="item"/>
    <w:basedOn w:val="Ttulo2"/>
    <w:pPr>
      <w:pBdr>
        <w:bottom w:val="single" w:sz="4" w:space="1" w:color="auto"/>
      </w:pBdr>
      <w:spacing w:before="240" w:after="240" w:line="360" w:lineRule="exact"/>
      <w:jc w:val="left"/>
    </w:pPr>
    <w:rPr>
      <w:rFonts w:ascii="Garamond" w:hAnsi="Garamond"/>
      <w:caps/>
      <w:sz w:val="24"/>
    </w:rPr>
  </w:style>
  <w:style w:type="paragraph" w:customStyle="1" w:styleId="Subitem">
    <w:name w:val="Subitem"/>
    <w:basedOn w:val="Normal"/>
    <w:pPr>
      <w:keepNext/>
      <w:spacing w:before="240" w:after="240"/>
      <w:ind w:firstLine="142"/>
    </w:pPr>
    <w:rPr>
      <w:rFonts w:ascii="Garamond" w:hAnsi="Garamond"/>
      <w:b/>
    </w:rPr>
  </w:style>
  <w:style w:type="paragraph" w:styleId="Corpodetexto2">
    <w:name w:val="Body Text 2"/>
    <w:basedOn w:val="Normal"/>
    <w:semiHidden/>
    <w:pPr>
      <w:spacing w:after="60" w:line="300" w:lineRule="atLeast"/>
      <w:jc w:val="both"/>
    </w:pPr>
    <w:rPr>
      <w:rFonts w:ascii="Garamond" w:hAnsi="Garamond"/>
      <w:sz w:val="22"/>
    </w:rPr>
  </w:style>
  <w:style w:type="paragraph" w:customStyle="1" w:styleId="nmerocapa">
    <w:name w:val="número capa"/>
    <w:basedOn w:val="Normal"/>
    <w:pPr>
      <w:ind w:firstLine="1"/>
      <w:jc w:val="center"/>
    </w:pPr>
    <w:rPr>
      <w:rFonts w:ascii="Arial Black" w:hAnsi="Arial Black"/>
      <w:b/>
      <w:sz w:val="4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after="120" w:line="360" w:lineRule="exact"/>
      <w:ind w:firstLine="2325"/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pPr>
      <w:jc w:val="both"/>
    </w:pPr>
    <w:rPr>
      <w:rFonts w:ascii="Garamond" w:hAnsi="Garamond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6A53A4"/>
    <w:pPr>
      <w:spacing w:after="120" w:line="360" w:lineRule="exact"/>
      <w:jc w:val="both"/>
    </w:pPr>
    <w:rPr>
      <w:rFonts w:ascii="Arial" w:hAnsi="Arial"/>
      <w:sz w:val="24"/>
    </w:rPr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uiPriority w:val="39"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Data">
    <w:name w:val="Date"/>
    <w:basedOn w:val="Normal"/>
    <w:next w:val="Normal"/>
    <w:semiHidden/>
    <w:pPr>
      <w:ind w:right="171"/>
      <w:jc w:val="center"/>
    </w:pPr>
    <w:rPr>
      <w:rFonts w:ascii="Arial Black" w:hAnsi="Arial Black"/>
      <w:caps/>
      <w:noProof/>
      <w:sz w:val="24"/>
    </w:rPr>
  </w:style>
  <w:style w:type="paragraph" w:customStyle="1" w:styleId="NDOCUMENTO">
    <w:name w:val="Nº DOCUMENTO"/>
    <w:basedOn w:val="Normal"/>
    <w:pPr>
      <w:widowControl w:val="0"/>
      <w:spacing w:after="60" w:line="480" w:lineRule="exact"/>
      <w:jc w:val="both"/>
    </w:pPr>
    <w:rPr>
      <w:rFonts w:ascii="Garamond" w:hAnsi="Garamond"/>
      <w:snapToGrid w:val="0"/>
      <w:color w:val="000000"/>
      <w:sz w:val="12"/>
    </w:rPr>
  </w:style>
  <w:style w:type="paragraph" w:customStyle="1" w:styleId="TTULOCAPA">
    <w:name w:val="TÍTULO CAPA"/>
    <w:basedOn w:val="Ttulo3"/>
    <w:pPr>
      <w:spacing w:before="240" w:after="240"/>
      <w:ind w:left="-1134" w:firstLine="0"/>
    </w:pPr>
    <w:rPr>
      <w:b/>
      <w:snapToGrid w:val="0"/>
      <w:sz w:val="52"/>
    </w:rPr>
  </w:style>
  <w:style w:type="paragraph" w:customStyle="1" w:styleId="rea">
    <w:name w:val="Área"/>
    <w:basedOn w:val="Matria"/>
    <w:pPr>
      <w:spacing w:after="0"/>
      <w:ind w:left="0" w:right="28"/>
      <w:jc w:val="right"/>
    </w:pPr>
    <w:rPr>
      <w:rFonts w:ascii="Garamond" w:hAnsi="Garamond"/>
      <w:sz w:val="22"/>
    </w:rPr>
  </w:style>
  <w:style w:type="paragraph" w:customStyle="1" w:styleId="Nomedarea">
    <w:name w:val="Nome da Área"/>
    <w:basedOn w:val="Matria"/>
    <w:pPr>
      <w:ind w:left="0" w:right="30"/>
      <w:jc w:val="right"/>
    </w:pPr>
    <w:rPr>
      <w:rFonts w:ascii="Garamond" w:hAnsi="Garamond"/>
      <w:sz w:val="22"/>
    </w:rPr>
  </w:style>
  <w:style w:type="paragraph" w:customStyle="1" w:styleId="nomeconsultorcabealho">
    <w:name w:val="nome_consultor_cabeçalho"/>
    <w:basedOn w:val="Normal"/>
    <w:pPr>
      <w:widowControl w:val="0"/>
      <w:pBdr>
        <w:bottom w:val="single" w:sz="4" w:space="1" w:color="auto"/>
      </w:pBdr>
      <w:tabs>
        <w:tab w:val="right" w:pos="8789"/>
      </w:tabs>
    </w:pPr>
    <w:rPr>
      <w:rFonts w:ascii="Garamond" w:hAnsi="Garamond"/>
      <w:b/>
    </w:rPr>
  </w:style>
  <w:style w:type="paragraph" w:customStyle="1" w:styleId="ttulocabealho">
    <w:name w:val="título_cabeçalho"/>
    <w:basedOn w:val="Ttulo3"/>
    <w:pPr>
      <w:keepNext w:val="0"/>
      <w:pBdr>
        <w:top w:val="single" w:sz="4" w:space="1" w:color="auto"/>
      </w:pBdr>
      <w:tabs>
        <w:tab w:val="right" w:pos="7513"/>
      </w:tabs>
      <w:ind w:left="0" w:firstLine="0"/>
      <w:jc w:val="left"/>
    </w:pPr>
    <w:rPr>
      <w:rFonts w:ascii="Garamond" w:hAnsi="Garamond"/>
      <w:b/>
      <w:sz w:val="20"/>
    </w:rPr>
  </w:style>
  <w:style w:type="paragraph" w:customStyle="1" w:styleId="ttuloinciopgina">
    <w:name w:val="título_início_página"/>
    <w:basedOn w:val="corpopadro"/>
    <w:pPr>
      <w:keepNext/>
      <w:spacing w:before="720" w:after="720"/>
      <w:ind w:firstLine="0"/>
      <w:jc w:val="center"/>
    </w:pPr>
    <w:rPr>
      <w:rFonts w:ascii="Arial Black" w:hAnsi="Arial Black"/>
      <w:sz w:val="32"/>
    </w:rPr>
  </w:style>
  <w:style w:type="character" w:styleId="TtulodoLivro">
    <w:name w:val="Book Title"/>
    <w:basedOn w:val="Fontepargpadro"/>
    <w:uiPriority w:val="33"/>
    <w:qFormat/>
    <w:rsid w:val="006F7BD7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6F7BD7"/>
  </w:style>
  <w:style w:type="paragraph" w:styleId="CabealhodoSumrio">
    <w:name w:val="TOC Heading"/>
    <w:basedOn w:val="Ttulo1"/>
    <w:next w:val="Normal"/>
    <w:uiPriority w:val="39"/>
    <w:unhideWhenUsed/>
    <w:qFormat/>
    <w:rsid w:val="00B5191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Fontepargpadro"/>
    <w:uiPriority w:val="99"/>
    <w:unhideWhenUsed/>
    <w:rsid w:val="00B519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9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91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619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19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19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19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19AA"/>
    <w:rPr>
      <w:b/>
      <w:bCs/>
    </w:rPr>
  </w:style>
  <w:style w:type="character" w:styleId="Forte">
    <w:name w:val="Strong"/>
    <w:basedOn w:val="Fontepargpadro"/>
    <w:uiPriority w:val="22"/>
    <w:qFormat/>
    <w:rsid w:val="0061005C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55B1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nado.gov.br/atividade/materia/getTexto.asp?t=170996&amp;c=PDF&amp;emenda=Emenda17" TargetMode="External"/><Relationship Id="rId18" Type="http://schemas.openxmlformats.org/officeDocument/2006/relationships/hyperlink" Target="http://www.senado.gov.br/atividade/materia/getTexto.asp?t=171081&amp;c=PDF&amp;emenda=Emenda39" TargetMode="External"/><Relationship Id="rId26" Type="http://schemas.openxmlformats.org/officeDocument/2006/relationships/hyperlink" Target="http://www.senado.gov.br/atividade/materia/getTexto.asp?t=171095&amp;c=PDF&amp;emenda=Emenda49" TargetMode="External"/><Relationship Id="rId39" Type="http://schemas.openxmlformats.org/officeDocument/2006/relationships/hyperlink" Target="http://www.senado.gov.br/atividade/materia/getTexto.asp?t=171283&amp;c=PDF&amp;emenda=Emenda108" TargetMode="External"/><Relationship Id="rId21" Type="http://schemas.openxmlformats.org/officeDocument/2006/relationships/hyperlink" Target="http://www.senado.gov.br/atividade/materia/getTexto.asp?t=171089&amp;c=PDF&amp;emenda=Emenda44" TargetMode="External"/><Relationship Id="rId34" Type="http://schemas.openxmlformats.org/officeDocument/2006/relationships/hyperlink" Target="http://www.senado.gov.br/atividade/materia/getTexto.asp?t=171266&amp;c=PDF&amp;emenda=Emenda97" TargetMode="External"/><Relationship Id="rId42" Type="http://schemas.openxmlformats.org/officeDocument/2006/relationships/hyperlink" Target="http://www.senado.gov.br/atividade/materia/getTexto.asp?t=171290&amp;c=PDF&amp;emenda=Emenda119" TargetMode="External"/><Relationship Id="rId47" Type="http://schemas.openxmlformats.org/officeDocument/2006/relationships/hyperlink" Target="http://www.senado.gov.br/atividade/materia/getTexto.asp?t=171303&amp;c=PDF&amp;emenda=Emenda129" TargetMode="External"/><Relationship Id="rId50" Type="http://schemas.openxmlformats.org/officeDocument/2006/relationships/hyperlink" Target="http://www.senado.gov.br/atividade/materia/getTexto.asp?t=171319&amp;c=PDF&amp;emenda=Emenda139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enado.gov.br/atividade/materia/getTexto.asp?t=170995&amp;c=PDF&amp;emenda=Emenda16" TargetMode="External"/><Relationship Id="rId17" Type="http://schemas.openxmlformats.org/officeDocument/2006/relationships/hyperlink" Target="http://www.senado.gov.br/atividade/materia/getTexto.asp?t=171054&amp;c=PDF&amp;emenda=Emenda23" TargetMode="External"/><Relationship Id="rId25" Type="http://schemas.openxmlformats.org/officeDocument/2006/relationships/hyperlink" Target="http://www.senado.gov.br/atividade/materia/getTexto.asp?t=171092&amp;c=PDF&amp;emenda=Emenda48" TargetMode="External"/><Relationship Id="rId33" Type="http://schemas.openxmlformats.org/officeDocument/2006/relationships/hyperlink" Target="http://www.senado.gov.br/atividade/materia/getTexto.asp?t=171243&amp;c=PDF&amp;emenda=Emenda88" TargetMode="External"/><Relationship Id="rId38" Type="http://schemas.openxmlformats.org/officeDocument/2006/relationships/hyperlink" Target="http://www.senado.gov.br/atividade/materia/getTexto.asp?t=171274&amp;c=PDF&amp;emenda=Emenda105" TargetMode="External"/><Relationship Id="rId46" Type="http://schemas.openxmlformats.org/officeDocument/2006/relationships/hyperlink" Target="http://www.senado.gov.br/atividade/materia/getTexto.asp?t=171302&amp;c=PDF&amp;emenda=Emenda1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ado.gov.br/atividade/materia/getTexto.asp?t=171050&amp;c=PDF&amp;emenda=Emenda22" TargetMode="External"/><Relationship Id="rId20" Type="http://schemas.openxmlformats.org/officeDocument/2006/relationships/hyperlink" Target="http://www.senado.gov.br/atividade/materia/getTexto.asp?t=171082&amp;c=PDF&amp;emenda=Emenda43" TargetMode="External"/><Relationship Id="rId29" Type="http://schemas.openxmlformats.org/officeDocument/2006/relationships/hyperlink" Target="http://www.senado.gov.br/atividade/materia/getTexto.asp?t=171097&amp;c=PDF&amp;emenda=Emenda52" TargetMode="External"/><Relationship Id="rId41" Type="http://schemas.openxmlformats.org/officeDocument/2006/relationships/hyperlink" Target="http://www.senado.gov.br/atividade/materia/getTexto.asp?t=171281&amp;c=PDF&amp;emenda=Emenda116" TargetMode="External"/><Relationship Id="rId54" Type="http://schemas.openxmlformats.org/officeDocument/2006/relationships/hyperlink" Target="http://www.senado.gov.br/atividade/materia/getTexto.asp?t=171400&amp;c=PDF&amp;emenda=Emenda1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do.gov.br/atividade/materia/getTexto.asp?t=170997&amp;c=PDF&amp;emenda=Emenda15" TargetMode="External"/><Relationship Id="rId24" Type="http://schemas.openxmlformats.org/officeDocument/2006/relationships/hyperlink" Target="http://www.senado.gov.br/atividade/materia/getTexto.asp?t=171093&amp;c=PDF&amp;emenda=Emenda47" TargetMode="External"/><Relationship Id="rId32" Type="http://schemas.openxmlformats.org/officeDocument/2006/relationships/hyperlink" Target="http://www.senado.gov.br/atividade/materia/getTexto.asp?t=171241&amp;c=PDF&amp;emenda=Emenda87" TargetMode="External"/><Relationship Id="rId37" Type="http://schemas.openxmlformats.org/officeDocument/2006/relationships/hyperlink" Target="http://www.senado.gov.br/atividade/materia/getTexto.asp?t=171273&amp;c=PDF&amp;emenda=Emenda104" TargetMode="External"/><Relationship Id="rId40" Type="http://schemas.openxmlformats.org/officeDocument/2006/relationships/hyperlink" Target="http://www.senado.gov.br/atividade/materia/getTexto.asp?t=171279&amp;c=PDF&amp;emenda=Emenda109" TargetMode="External"/><Relationship Id="rId45" Type="http://schemas.openxmlformats.org/officeDocument/2006/relationships/hyperlink" Target="http://www.senado.gov.br/atividade/materia/getTexto.asp?t=171297&amp;c=PDF&amp;emenda=Emenda126" TargetMode="External"/><Relationship Id="rId53" Type="http://schemas.openxmlformats.org/officeDocument/2006/relationships/hyperlink" Target="http://www.senado.gov.br/atividade/materia/getTexto.asp?t=171322&amp;c=PDF&amp;emenda=Emenda1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nado.gov.br/atividade/materia/getTexto.asp?t=171033&amp;c=PDF&amp;emenda=Emenda19" TargetMode="External"/><Relationship Id="rId23" Type="http://schemas.openxmlformats.org/officeDocument/2006/relationships/hyperlink" Target="http://www.senado.gov.br/atividade/materia/getTexto.asp?t=171091&amp;c=PDF&amp;emenda=Emenda46" TargetMode="External"/><Relationship Id="rId28" Type="http://schemas.openxmlformats.org/officeDocument/2006/relationships/hyperlink" Target="http://www.senado.gov.br/atividade/materia/getTexto.asp?t=171104&amp;c=PDF&amp;emenda=Emenda51" TargetMode="External"/><Relationship Id="rId36" Type="http://schemas.openxmlformats.org/officeDocument/2006/relationships/hyperlink" Target="http://www.senado.gov.br/atividade/materia/getTexto.asp?t=171268&amp;c=PDF&amp;emenda=Emenda102" TargetMode="External"/><Relationship Id="rId49" Type="http://schemas.openxmlformats.org/officeDocument/2006/relationships/hyperlink" Target="http://www.senado.gov.br/atividade/materia/getTexto.asp?t=171309&amp;c=PDF&amp;emenda=Emenda13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enado.gov.br/atividade/materia/getTexto.asp?t=170968&amp;c=PDF&amp;emenda=Emenda14" TargetMode="External"/><Relationship Id="rId19" Type="http://schemas.openxmlformats.org/officeDocument/2006/relationships/hyperlink" Target="http://www.senado.gov.br/atividade/materia/getTexto.asp?t=171083&amp;c=PDF&amp;emenda=Emenda40" TargetMode="External"/><Relationship Id="rId31" Type="http://schemas.openxmlformats.org/officeDocument/2006/relationships/hyperlink" Target="http://www.senado.gov.br/atividade/materia/getTexto.asp?t=171242&amp;c=PDF&amp;emenda=Emenda86" TargetMode="External"/><Relationship Id="rId44" Type="http://schemas.openxmlformats.org/officeDocument/2006/relationships/hyperlink" Target="http://www.senado.gov.br/atividade/materia/getTexto.asp?t=171299&amp;c=PDF&amp;emenda=Emenda125" TargetMode="External"/><Relationship Id="rId52" Type="http://schemas.openxmlformats.org/officeDocument/2006/relationships/hyperlink" Target="http://www.senado.gov.br/atividade/materia/getTexto.asp?t=171317&amp;c=PDF&amp;emenda=Emenda1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nado.gov.br/atividade/materia/getTexto.asp?t=170867&amp;c=PDF&amp;emenda=Emenda12" TargetMode="External"/><Relationship Id="rId14" Type="http://schemas.openxmlformats.org/officeDocument/2006/relationships/hyperlink" Target="http://www.senado.gov.br/atividade/materia/getTexto.asp?t=171005&amp;c=PDF&amp;emenda=Emenda18" TargetMode="External"/><Relationship Id="rId22" Type="http://schemas.openxmlformats.org/officeDocument/2006/relationships/hyperlink" Target="http://www.senado.gov.br/atividade/materia/getTexto.asp?t=171090&amp;c=PDF&amp;emenda=Emenda45" TargetMode="External"/><Relationship Id="rId27" Type="http://schemas.openxmlformats.org/officeDocument/2006/relationships/hyperlink" Target="http://www.senado.gov.br/atividade/materia/getTexto.asp?t=171098&amp;c=PDF&amp;emenda=Emenda50" TargetMode="External"/><Relationship Id="rId30" Type="http://schemas.openxmlformats.org/officeDocument/2006/relationships/hyperlink" Target="http://www.senado.gov.br/atividade/materia/getTexto.asp?t=171122&amp;c=PDF&amp;emenda=Emenda61" TargetMode="External"/><Relationship Id="rId35" Type="http://schemas.openxmlformats.org/officeDocument/2006/relationships/hyperlink" Target="http://www.senado.gov.br/atividade/materia/getTexto.asp?t=171267&amp;c=PDF&amp;emenda=Emenda101" TargetMode="External"/><Relationship Id="rId43" Type="http://schemas.openxmlformats.org/officeDocument/2006/relationships/hyperlink" Target="http://www.senado.gov.br/atividade/materia/getTexto.asp?t=171289&amp;c=PDF&amp;emenda=Emenda121" TargetMode="External"/><Relationship Id="rId48" Type="http://schemas.openxmlformats.org/officeDocument/2006/relationships/hyperlink" Target="http://www.senado.gov.br/atividade/materia/getTexto.asp?t=171305&amp;c=PDF&amp;emenda=Emenda130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senado.gov.br/atividade/materia/getTexto.asp?t=171318&amp;c=PDF&amp;emenda=Emenda1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21BC-D6F5-42D0-A0ED-FE78ADF4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13095</Characters>
  <Application>Microsoft Office Word</Application>
  <DocSecurity>0</DocSecurity>
  <Lines>109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LEGISLATIVA</vt:lpstr>
    </vt:vector>
  </TitlesOfParts>
  <Company>Camara dos Deputados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LEGISLATIVA</dc:title>
  <dc:subject>CONS - Consulta (A)</dc:subject>
  <dc:creator>p_5327</dc:creator>
  <cp:keywords>CONSULTA</cp:keywords>
  <dc:description>CONS - Consulta (C)</dc:description>
  <cp:lastModifiedBy>Administrador</cp:lastModifiedBy>
  <cp:revision>3</cp:revision>
  <cp:lastPrinted>2004-10-15T20:24:00Z</cp:lastPrinted>
  <dcterms:created xsi:type="dcterms:W3CDTF">2015-09-23T16:35:00Z</dcterms:created>
  <dcterms:modified xsi:type="dcterms:W3CDTF">2015-09-23T16:36:00Z</dcterms:modified>
</cp:coreProperties>
</file>