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EA" w:rsidRDefault="002862EA" w:rsidP="002862EA">
      <w:pPr>
        <w:pStyle w:val="02-TtuloPrincipal-CLG"/>
      </w:pPr>
      <w:r w:rsidRPr="002B7225">
        <w:t>PROJETO DE LEI DE CONVERSÃO Nº 1</w:t>
      </w:r>
      <w:r w:rsidR="00041E76">
        <w:t>3</w:t>
      </w:r>
      <w:r w:rsidRPr="002B7225">
        <w:t>, DE 2015 (Proveniente da Medida Provisória nº 6</w:t>
      </w:r>
      <w:r w:rsidR="00041E76">
        <w:t>79</w:t>
      </w:r>
      <w:r w:rsidRPr="002B7225">
        <w:t>, de 2015</w:t>
      </w:r>
      <w:proofErr w:type="gramStart"/>
      <w:r w:rsidRPr="002B7225">
        <w:t>)</w:t>
      </w:r>
      <w:proofErr w:type="gramEnd"/>
    </w:p>
    <w:p w:rsidR="00A247A1" w:rsidRPr="00177BD4" w:rsidRDefault="00A247A1" w:rsidP="00A247A1">
      <w:pPr>
        <w:pStyle w:val="03-Ementa-CLG"/>
        <w:spacing w:before="240" w:after="1200"/>
      </w:pPr>
      <w:r w:rsidRPr="00177BD4">
        <w:t>Dispõe sobre autorização para a realização de obras e serviços necessários ao fornecimento de energia elétrica temporária para os Jogos Rio 2016, e altera a</w:t>
      </w:r>
      <w:r>
        <w:t>s</w:t>
      </w:r>
      <w:r w:rsidRPr="00177BD4">
        <w:t xml:space="preserve"> Lei</w:t>
      </w:r>
      <w:r>
        <w:t xml:space="preserve">s nº 11.473, de 10 de maio de 2007, que </w:t>
      </w:r>
      <w:r w:rsidRPr="000E145D">
        <w:rPr>
          <w:i/>
        </w:rPr>
        <w:t>dispõe sobre cooperação federativa no âmbito da segurança pública</w:t>
      </w:r>
      <w:r>
        <w:t>, nº </w:t>
      </w:r>
      <w:r w:rsidRPr="00177BD4">
        <w:t>11.977, de </w:t>
      </w:r>
      <w:proofErr w:type="gramStart"/>
      <w:r w:rsidRPr="00177BD4">
        <w:t>7</w:t>
      </w:r>
      <w:proofErr w:type="gramEnd"/>
      <w:r w:rsidRPr="00177BD4">
        <w:t xml:space="preserve"> de julho de 2009,</w:t>
      </w:r>
      <w:r>
        <w:t xml:space="preserve"> que </w:t>
      </w:r>
      <w:r w:rsidRPr="000E145D">
        <w:rPr>
          <w:i/>
        </w:rPr>
        <w:t>dispõe sobre o Programa Minha Casa, Minha Vida e sobre a regularização fundiária de assentamentos em áreas urbanas</w:t>
      </w:r>
      <w:r>
        <w:t>,</w:t>
      </w:r>
      <w:r w:rsidRPr="00177BD4">
        <w:t xml:space="preserve"> </w:t>
      </w:r>
      <w:r>
        <w:t>nº </w:t>
      </w:r>
      <w:r w:rsidRPr="00177BD4">
        <w:t xml:space="preserve">12.035, </w:t>
      </w:r>
      <w:r>
        <w:t xml:space="preserve">de 1º de outubro </w:t>
      </w:r>
      <w:r w:rsidRPr="00177BD4">
        <w:t xml:space="preserve">de 2009, </w:t>
      </w:r>
      <w:r>
        <w:t xml:space="preserve">que </w:t>
      </w:r>
      <w:r w:rsidRPr="000E145D">
        <w:rPr>
          <w:i/>
        </w:rPr>
        <w:t>institui o Ato Olímpico</w:t>
      </w:r>
      <w:r>
        <w:t>, e nº 12.462, de 4 de agosto de 2011</w:t>
      </w:r>
      <w:r w:rsidRPr="00177BD4">
        <w:t xml:space="preserve">, </w:t>
      </w:r>
      <w:r>
        <w:t xml:space="preserve">que </w:t>
      </w:r>
      <w:r w:rsidRPr="00915190">
        <w:rPr>
          <w:i/>
        </w:rPr>
        <w:t>institui o Regime Diferenciado de Contratações Públicas</w:t>
      </w:r>
      <w:r>
        <w:rPr>
          <w:i/>
        </w:rPr>
        <w:t> </w:t>
      </w:r>
      <w:r w:rsidRPr="00915190">
        <w:rPr>
          <w:i/>
        </w:rPr>
        <w:t>–</w:t>
      </w:r>
      <w:r>
        <w:rPr>
          <w:i/>
        </w:rPr>
        <w:t> </w:t>
      </w:r>
      <w:r w:rsidRPr="00915190">
        <w:rPr>
          <w:i/>
        </w:rPr>
        <w:t>RDC</w:t>
      </w:r>
      <w:r w:rsidRPr="00177BD4">
        <w:t>.</w:t>
      </w:r>
    </w:p>
    <w:p w:rsidR="00A247A1" w:rsidRPr="00177BD4" w:rsidRDefault="00A247A1" w:rsidP="00A247A1">
      <w:pPr>
        <w:pStyle w:val="06-Pargrafodetexto-CLG"/>
        <w:spacing w:after="480"/>
      </w:pPr>
      <w:r w:rsidRPr="00177BD4">
        <w:t xml:space="preserve">O CONGRESSO NACIONAL decreta: </w:t>
      </w:r>
    </w:p>
    <w:p w:rsidR="00A247A1" w:rsidRPr="00177BD4" w:rsidRDefault="00A247A1" w:rsidP="00A247A1">
      <w:pPr>
        <w:pStyle w:val="06-Pargrafodetexto-CLG"/>
        <w:spacing w:after="120"/>
        <w:rPr>
          <w:szCs w:val="28"/>
        </w:rPr>
      </w:pPr>
      <w:r w:rsidRPr="00177BD4">
        <w:rPr>
          <w:b/>
          <w:szCs w:val="28"/>
        </w:rPr>
        <w:t>Art. 1º</w:t>
      </w:r>
      <w:r w:rsidRPr="00177BD4">
        <w:rPr>
          <w:szCs w:val="28"/>
        </w:rPr>
        <w:t> Os agentes de distribuição, responsáveis pelo fornecimento de energia elétrica nas áreas de concessão onde serão realizados os Jogos Rio 2016 ficam autorizados a executar os procedimentos necessários para garantir o fornecimento temporário de energia elétrica, em conformidade com os requisitos e prazos pactuados com o Comitê Olímpico Internacional – COI pelo Comitê Organizador dos Jogos Rio 2016.</w:t>
      </w:r>
    </w:p>
    <w:p w:rsidR="00A247A1" w:rsidRPr="00177BD4" w:rsidRDefault="00A247A1" w:rsidP="00A247A1">
      <w:pPr>
        <w:pStyle w:val="06-Pargrafodetexto-CLG"/>
        <w:spacing w:after="120"/>
        <w:rPr>
          <w:szCs w:val="28"/>
        </w:rPr>
      </w:pPr>
      <w:r w:rsidRPr="00177BD4">
        <w:rPr>
          <w:szCs w:val="28"/>
        </w:rPr>
        <w:t xml:space="preserve">§ 1º Os procedimentos de que trata o </w:t>
      </w:r>
      <w:r w:rsidRPr="00177BD4">
        <w:rPr>
          <w:i/>
          <w:szCs w:val="28"/>
        </w:rPr>
        <w:t xml:space="preserve">caput </w:t>
      </w:r>
      <w:r w:rsidRPr="00C36649">
        <w:rPr>
          <w:szCs w:val="28"/>
        </w:rPr>
        <w:t>deste artigo</w:t>
      </w:r>
      <w:r>
        <w:rPr>
          <w:i/>
          <w:szCs w:val="28"/>
        </w:rPr>
        <w:t xml:space="preserve"> </w:t>
      </w:r>
      <w:r w:rsidRPr="00177BD4">
        <w:rPr>
          <w:szCs w:val="28"/>
        </w:rPr>
        <w:t xml:space="preserve">compreendem a realização de obras, a prestação de serviços e o aluguel de máquinas, equipamentos e materiais necessários à </w:t>
      </w:r>
      <w:proofErr w:type="gramStart"/>
      <w:r w:rsidRPr="00177BD4">
        <w:rPr>
          <w:szCs w:val="28"/>
        </w:rPr>
        <w:t>implementação</w:t>
      </w:r>
      <w:proofErr w:type="gramEnd"/>
      <w:r w:rsidRPr="00177BD4">
        <w:rPr>
          <w:szCs w:val="28"/>
        </w:rPr>
        <w:t xml:space="preserve"> da infraestrutura de energia elétrica dos sítios olímpicos.</w:t>
      </w:r>
    </w:p>
    <w:p w:rsidR="00A247A1" w:rsidRPr="00177BD4" w:rsidRDefault="00A247A1" w:rsidP="00A247A1">
      <w:pPr>
        <w:pStyle w:val="06-Pargrafodetexto-CLG"/>
        <w:spacing w:after="240"/>
        <w:rPr>
          <w:szCs w:val="28"/>
        </w:rPr>
      </w:pPr>
      <w:r w:rsidRPr="00177BD4">
        <w:rPr>
          <w:szCs w:val="28"/>
        </w:rPr>
        <w:t xml:space="preserve">§ 2º A execução dos serviços e obras necessários para a garantia a que se refere o </w:t>
      </w:r>
      <w:r w:rsidRPr="00177BD4">
        <w:rPr>
          <w:i/>
          <w:szCs w:val="28"/>
        </w:rPr>
        <w:t xml:space="preserve">caput </w:t>
      </w:r>
      <w:r>
        <w:rPr>
          <w:szCs w:val="28"/>
        </w:rPr>
        <w:t xml:space="preserve">deste artigo </w:t>
      </w:r>
      <w:r w:rsidRPr="00177BD4">
        <w:rPr>
          <w:szCs w:val="28"/>
        </w:rPr>
        <w:t xml:space="preserve">não estará limitada ao ponto de entrega estabelecido pela regulamentação vigente e </w:t>
      </w:r>
      <w:proofErr w:type="gramStart"/>
      <w:r w:rsidRPr="00177BD4">
        <w:rPr>
          <w:szCs w:val="28"/>
        </w:rPr>
        <w:t>deverá contemplar</w:t>
      </w:r>
      <w:proofErr w:type="gramEnd"/>
      <w:r w:rsidRPr="00177BD4">
        <w:rPr>
          <w:szCs w:val="28"/>
        </w:rPr>
        <w:t xml:space="preserve"> todas as instalações, inclusive aquelas internas a unidades consumidoras.</w:t>
      </w:r>
    </w:p>
    <w:p w:rsidR="00A247A1" w:rsidRPr="00177BD4" w:rsidRDefault="00A247A1" w:rsidP="00A247A1">
      <w:pPr>
        <w:pStyle w:val="06-Pargrafodetexto-CLG"/>
        <w:spacing w:after="120"/>
        <w:rPr>
          <w:szCs w:val="28"/>
        </w:rPr>
      </w:pPr>
      <w:bookmarkStart w:id="0" w:name="art2"/>
      <w:bookmarkEnd w:id="0"/>
      <w:r w:rsidRPr="00177BD4">
        <w:rPr>
          <w:b/>
          <w:szCs w:val="28"/>
        </w:rPr>
        <w:t>Art. 2º</w:t>
      </w:r>
      <w:r w:rsidRPr="00177BD4">
        <w:rPr>
          <w:szCs w:val="28"/>
        </w:rPr>
        <w:t> Os recursos destinados para a execução dos procedimentos definidos no art. 1º</w:t>
      </w:r>
      <w:r>
        <w:rPr>
          <w:szCs w:val="28"/>
        </w:rPr>
        <w:t xml:space="preserve"> desta Lei</w:t>
      </w:r>
      <w:r w:rsidRPr="00177BD4">
        <w:rPr>
          <w:szCs w:val="28"/>
        </w:rPr>
        <w:t xml:space="preserve">, oriundos de créditos consignados no Orçamento Geral da União, serão repassados nos termos do </w:t>
      </w:r>
      <w:r w:rsidRPr="00177BD4">
        <w:rPr>
          <w:szCs w:val="28"/>
        </w:rPr>
        <w:lastRenderedPageBreak/>
        <w:t>art. 13 da Lei nº 10.438, de 26 de abril de 2002, e contabilizados separadamente.</w:t>
      </w:r>
    </w:p>
    <w:p w:rsidR="00A247A1" w:rsidRPr="00177BD4" w:rsidRDefault="00A247A1" w:rsidP="00A247A1">
      <w:pPr>
        <w:pStyle w:val="06-Pargrafodetexto-CLG"/>
        <w:spacing w:after="120"/>
        <w:rPr>
          <w:szCs w:val="28"/>
        </w:rPr>
      </w:pPr>
      <w:r w:rsidRPr="00177BD4">
        <w:rPr>
          <w:szCs w:val="28"/>
        </w:rPr>
        <w:t>§ 1º É vedado o uso dos recursos previstos no § 1º do art. 13 da Lei nº 10.438, de 26 de abril de 2002, no custeio dos procedimentos de que trata o art. 1º</w:t>
      </w:r>
      <w:r>
        <w:rPr>
          <w:szCs w:val="28"/>
        </w:rPr>
        <w:t xml:space="preserve"> desta Lei</w:t>
      </w:r>
      <w:r w:rsidRPr="00177BD4">
        <w:rPr>
          <w:szCs w:val="28"/>
        </w:rPr>
        <w:t xml:space="preserve">. </w:t>
      </w:r>
    </w:p>
    <w:p w:rsidR="00A247A1" w:rsidRPr="00177BD4" w:rsidRDefault="00A247A1" w:rsidP="00A247A1">
      <w:pPr>
        <w:pStyle w:val="06-Pargrafodetexto-CLG"/>
        <w:spacing w:after="120"/>
        <w:rPr>
          <w:szCs w:val="28"/>
        </w:rPr>
      </w:pPr>
      <w:r w:rsidRPr="00177BD4">
        <w:rPr>
          <w:szCs w:val="28"/>
        </w:rPr>
        <w:t xml:space="preserve">§ 2º O repasse dos recursos de que trata o </w:t>
      </w:r>
      <w:r w:rsidRPr="00177BD4">
        <w:rPr>
          <w:i/>
          <w:szCs w:val="28"/>
        </w:rPr>
        <w:t>caput</w:t>
      </w:r>
      <w:r>
        <w:rPr>
          <w:i/>
          <w:szCs w:val="28"/>
        </w:rPr>
        <w:t xml:space="preserve"> </w:t>
      </w:r>
      <w:r>
        <w:rPr>
          <w:szCs w:val="28"/>
        </w:rPr>
        <w:t xml:space="preserve">deste artigo fica condicionado ao prévio </w:t>
      </w:r>
      <w:r w:rsidRPr="00177BD4">
        <w:rPr>
          <w:szCs w:val="28"/>
        </w:rPr>
        <w:t>aporte d</w:t>
      </w:r>
      <w:r>
        <w:rPr>
          <w:szCs w:val="28"/>
        </w:rPr>
        <w:t>e</w:t>
      </w:r>
      <w:r w:rsidRPr="00177BD4">
        <w:rPr>
          <w:szCs w:val="28"/>
        </w:rPr>
        <w:t xml:space="preserve"> recursos do Orçamento Geral da União na Conta de Desenvolvimento Energético</w:t>
      </w:r>
      <w:r>
        <w:rPr>
          <w:szCs w:val="28"/>
        </w:rPr>
        <w:t> – CDE, de, pelo menos, o valor mínimo ao do repasse originalmente previsto</w:t>
      </w:r>
      <w:r w:rsidRPr="00177BD4">
        <w:rPr>
          <w:szCs w:val="28"/>
        </w:rPr>
        <w:t>.</w:t>
      </w:r>
    </w:p>
    <w:p w:rsidR="00A247A1" w:rsidRPr="00177BD4" w:rsidRDefault="00A247A1" w:rsidP="00A247A1">
      <w:pPr>
        <w:pStyle w:val="06-Pargrafodetexto-CLG"/>
        <w:spacing w:after="240"/>
        <w:rPr>
          <w:szCs w:val="28"/>
        </w:rPr>
      </w:pPr>
      <w:r w:rsidRPr="00177BD4">
        <w:rPr>
          <w:szCs w:val="28"/>
        </w:rPr>
        <w:t>§ 3º O repasse de recursos da Conta de Desenvolvimento Energético</w:t>
      </w:r>
      <w:r>
        <w:rPr>
          <w:szCs w:val="28"/>
        </w:rPr>
        <w:t> – CDE</w:t>
      </w:r>
      <w:r w:rsidRPr="00177BD4">
        <w:rPr>
          <w:szCs w:val="28"/>
        </w:rPr>
        <w:t xml:space="preserve"> aos agentes de distribuição para a cobertura dos custos com a realização de obras no sistema de distribuição de energia elétrica para atendimento dos requisitos </w:t>
      </w:r>
      <w:r>
        <w:rPr>
          <w:szCs w:val="28"/>
        </w:rPr>
        <w:t>pactuados pela União com relação aos Jogos Rio 2016</w:t>
      </w:r>
      <w:r w:rsidRPr="00177BD4">
        <w:rPr>
          <w:szCs w:val="28"/>
        </w:rPr>
        <w:t xml:space="preserve"> deverá obser</w:t>
      </w:r>
      <w:r>
        <w:rPr>
          <w:szCs w:val="28"/>
        </w:rPr>
        <w:t>var o disposto nos §§ </w:t>
      </w:r>
      <w:r w:rsidRPr="00177BD4">
        <w:rPr>
          <w:szCs w:val="28"/>
        </w:rPr>
        <w:t>1º e </w:t>
      </w:r>
      <w:r>
        <w:rPr>
          <w:szCs w:val="28"/>
        </w:rPr>
        <w:t>2º deste artigo.</w:t>
      </w:r>
    </w:p>
    <w:p w:rsidR="00A247A1" w:rsidRPr="00177BD4" w:rsidRDefault="00A247A1" w:rsidP="00A247A1">
      <w:pPr>
        <w:pStyle w:val="06-Pargrafodetexto-CLG"/>
        <w:spacing w:after="120"/>
        <w:rPr>
          <w:szCs w:val="28"/>
        </w:rPr>
      </w:pPr>
      <w:bookmarkStart w:id="1" w:name="art3"/>
      <w:bookmarkEnd w:id="1"/>
      <w:r w:rsidRPr="00177BD4">
        <w:rPr>
          <w:b/>
          <w:szCs w:val="28"/>
        </w:rPr>
        <w:t>Art. 3º</w:t>
      </w:r>
      <w:r w:rsidRPr="00177BD4">
        <w:rPr>
          <w:szCs w:val="28"/>
        </w:rPr>
        <w:t xml:space="preserve"> A </w:t>
      </w:r>
      <w:r>
        <w:rPr>
          <w:szCs w:val="28"/>
        </w:rPr>
        <w:t>ANEEL</w:t>
      </w:r>
      <w:r w:rsidRPr="00177BD4">
        <w:rPr>
          <w:szCs w:val="28"/>
        </w:rPr>
        <w:t xml:space="preserve"> homologará o orçamento e o cronograma de desembolso e fiscalizará os agentes de distribuição, visando </w:t>
      </w:r>
      <w:proofErr w:type="gramStart"/>
      <w:r w:rsidRPr="00177BD4">
        <w:rPr>
          <w:szCs w:val="28"/>
        </w:rPr>
        <w:t>a</w:t>
      </w:r>
      <w:proofErr w:type="gramEnd"/>
      <w:r w:rsidRPr="00177BD4">
        <w:rPr>
          <w:szCs w:val="28"/>
        </w:rPr>
        <w:t xml:space="preserve"> adequada prestação dos serviços mencionados no art. 1º</w:t>
      </w:r>
      <w:r>
        <w:rPr>
          <w:szCs w:val="28"/>
        </w:rPr>
        <w:t xml:space="preserve"> desta Lei</w:t>
      </w:r>
      <w:r w:rsidRPr="00177BD4">
        <w:rPr>
          <w:szCs w:val="28"/>
        </w:rPr>
        <w:t>.</w:t>
      </w:r>
    </w:p>
    <w:p w:rsidR="00A247A1" w:rsidRPr="00177BD4" w:rsidRDefault="00A247A1" w:rsidP="00A247A1">
      <w:pPr>
        <w:pStyle w:val="06-Pargrafodetexto-CLG"/>
        <w:spacing w:after="120"/>
        <w:rPr>
          <w:szCs w:val="28"/>
        </w:rPr>
      </w:pPr>
      <w:r w:rsidRPr="00177BD4">
        <w:rPr>
          <w:i/>
          <w:szCs w:val="28"/>
        </w:rPr>
        <w:t>Parágrafo único</w:t>
      </w:r>
      <w:r w:rsidRPr="00177BD4">
        <w:rPr>
          <w:szCs w:val="28"/>
        </w:rPr>
        <w:t xml:space="preserve">. Deverão ser tornadas públicas, em sítio da rede mundial de computadores, com atualização bimestral, as seguintes informações relativas aos procedimentos de que trata o </w:t>
      </w:r>
      <w:r w:rsidRPr="00177BD4">
        <w:rPr>
          <w:i/>
          <w:szCs w:val="28"/>
        </w:rPr>
        <w:t>caput</w:t>
      </w:r>
      <w:r w:rsidRPr="00177BD4">
        <w:rPr>
          <w:szCs w:val="28"/>
        </w:rPr>
        <w:t xml:space="preserve"> do art. 1º</w:t>
      </w:r>
      <w:r>
        <w:rPr>
          <w:szCs w:val="28"/>
        </w:rPr>
        <w:t xml:space="preserve"> desta Lei, dentre outras</w:t>
      </w:r>
      <w:r w:rsidRPr="00177BD4">
        <w:rPr>
          <w:szCs w:val="28"/>
        </w:rPr>
        <w:t>:</w:t>
      </w:r>
    </w:p>
    <w:p w:rsidR="00A247A1" w:rsidRPr="00177BD4" w:rsidRDefault="00A247A1" w:rsidP="00A247A1">
      <w:pPr>
        <w:pStyle w:val="06-Pargrafodetexto-CLG"/>
        <w:spacing w:after="120"/>
        <w:rPr>
          <w:szCs w:val="28"/>
        </w:rPr>
      </w:pPr>
      <w:r w:rsidRPr="00177BD4">
        <w:rPr>
          <w:szCs w:val="28"/>
        </w:rPr>
        <w:t>I </w:t>
      </w:r>
      <w:r w:rsidRPr="00177BD4">
        <w:t>–</w:t>
      </w:r>
      <w:r w:rsidRPr="00177BD4">
        <w:rPr>
          <w:szCs w:val="28"/>
        </w:rPr>
        <w:t> identificação dos procedimentos e respectivos custos, por entidade responsável pela execução;</w:t>
      </w:r>
    </w:p>
    <w:p w:rsidR="00A247A1" w:rsidRPr="00177BD4" w:rsidRDefault="00A247A1" w:rsidP="00A247A1">
      <w:pPr>
        <w:pStyle w:val="06-Pargrafodetexto-CLG"/>
        <w:spacing w:after="120"/>
        <w:rPr>
          <w:szCs w:val="28"/>
        </w:rPr>
      </w:pPr>
      <w:r>
        <w:rPr>
          <w:szCs w:val="28"/>
        </w:rPr>
        <w:t>II</w:t>
      </w:r>
      <w:r w:rsidRPr="00177BD4">
        <w:rPr>
          <w:szCs w:val="28"/>
        </w:rPr>
        <w:t> </w:t>
      </w:r>
      <w:r w:rsidRPr="00177BD4">
        <w:t>–</w:t>
      </w:r>
      <w:r w:rsidRPr="00177BD4">
        <w:rPr>
          <w:szCs w:val="28"/>
        </w:rPr>
        <w:t xml:space="preserve"> os valores repassados aos agentes de distribuição, discriminados por </w:t>
      </w:r>
      <w:r w:rsidRPr="003C029A">
        <w:rPr>
          <w:szCs w:val="28"/>
        </w:rPr>
        <w:t>seu Cadastro Nacional da Pessoa Jurídic</w:t>
      </w:r>
      <w:r>
        <w:rPr>
          <w:szCs w:val="28"/>
        </w:rPr>
        <w:t xml:space="preserve">a – </w:t>
      </w:r>
      <w:r w:rsidRPr="00177BD4">
        <w:rPr>
          <w:szCs w:val="28"/>
        </w:rPr>
        <w:t xml:space="preserve">CNPJ; </w:t>
      </w:r>
    </w:p>
    <w:p w:rsidR="00A247A1" w:rsidRPr="00177BD4" w:rsidRDefault="00A247A1" w:rsidP="00A247A1">
      <w:pPr>
        <w:pStyle w:val="06-Pargrafodetexto-CLG"/>
        <w:spacing w:after="120"/>
        <w:rPr>
          <w:szCs w:val="28"/>
        </w:rPr>
      </w:pPr>
      <w:r>
        <w:rPr>
          <w:szCs w:val="28"/>
        </w:rPr>
        <w:t>III</w:t>
      </w:r>
      <w:r w:rsidRPr="00177BD4">
        <w:rPr>
          <w:szCs w:val="28"/>
        </w:rPr>
        <w:t> </w:t>
      </w:r>
      <w:r w:rsidRPr="00177BD4">
        <w:t>–</w:t>
      </w:r>
      <w:r w:rsidRPr="00177BD4">
        <w:rPr>
          <w:szCs w:val="28"/>
        </w:rPr>
        <w:t> o orçamento e o cronograma de desembolsos;</w:t>
      </w:r>
    </w:p>
    <w:p w:rsidR="00A247A1" w:rsidRPr="00177BD4" w:rsidRDefault="00A247A1" w:rsidP="00A247A1">
      <w:pPr>
        <w:pStyle w:val="06-Pargrafodetexto-CLG"/>
        <w:spacing w:after="120"/>
        <w:rPr>
          <w:szCs w:val="28"/>
        </w:rPr>
      </w:pPr>
      <w:r>
        <w:rPr>
          <w:szCs w:val="28"/>
        </w:rPr>
        <w:t>IV</w:t>
      </w:r>
      <w:r w:rsidRPr="00177BD4">
        <w:rPr>
          <w:szCs w:val="28"/>
        </w:rPr>
        <w:t> </w:t>
      </w:r>
      <w:r w:rsidRPr="00177BD4">
        <w:t>–</w:t>
      </w:r>
      <w:r w:rsidRPr="00177BD4">
        <w:rPr>
          <w:szCs w:val="28"/>
        </w:rPr>
        <w:t> os parâmetros de desempenho a serem observados pelos agentes de distribuição;</w:t>
      </w:r>
      <w:r>
        <w:rPr>
          <w:szCs w:val="28"/>
        </w:rPr>
        <w:t xml:space="preserve"> </w:t>
      </w:r>
      <w:proofErr w:type="gramStart"/>
      <w:r>
        <w:rPr>
          <w:szCs w:val="28"/>
        </w:rPr>
        <w:t>e</w:t>
      </w:r>
      <w:proofErr w:type="gramEnd"/>
    </w:p>
    <w:p w:rsidR="00A247A1" w:rsidRPr="00A247A1" w:rsidRDefault="00A247A1" w:rsidP="00A247A1">
      <w:pPr>
        <w:pStyle w:val="06-Pargrafodetexto-CLG"/>
        <w:spacing w:after="240"/>
        <w:rPr>
          <w:szCs w:val="28"/>
        </w:rPr>
      </w:pPr>
      <w:r>
        <w:rPr>
          <w:szCs w:val="28"/>
        </w:rPr>
        <w:t>V</w:t>
      </w:r>
      <w:r w:rsidRPr="00177BD4">
        <w:rPr>
          <w:szCs w:val="28"/>
        </w:rPr>
        <w:t> </w:t>
      </w:r>
      <w:r w:rsidRPr="00177BD4">
        <w:t>–</w:t>
      </w:r>
      <w:r w:rsidRPr="00177BD4">
        <w:rPr>
          <w:szCs w:val="28"/>
        </w:rPr>
        <w:t> a data e os valores creditados aos agentes de distribuição.</w:t>
      </w:r>
      <w:bookmarkStart w:id="2" w:name="art4"/>
      <w:bookmarkEnd w:id="2"/>
    </w:p>
    <w:p w:rsidR="00A247A1" w:rsidRPr="00177BD4" w:rsidRDefault="00A247A1" w:rsidP="00A247A1">
      <w:pPr>
        <w:pStyle w:val="06-Pargrafodetexto-CLG"/>
        <w:rPr>
          <w:szCs w:val="28"/>
        </w:rPr>
      </w:pPr>
      <w:r w:rsidRPr="00177BD4">
        <w:rPr>
          <w:b/>
        </w:rPr>
        <w:t>Art. 4º</w:t>
      </w:r>
      <w:r w:rsidRPr="00177BD4">
        <w:t> A Lei nº 11.473, de 10 de maio de 2007, passa a vigorar com as seguintes alterações</w:t>
      </w:r>
      <w:r w:rsidRPr="00177BD4">
        <w:rPr>
          <w:szCs w:val="28"/>
        </w:rPr>
        <w:t>:</w:t>
      </w:r>
    </w:p>
    <w:p w:rsidR="00A247A1" w:rsidRPr="00177BD4" w:rsidRDefault="00A247A1" w:rsidP="00A247A1">
      <w:pPr>
        <w:pStyle w:val="07-Citaolegal-CLG"/>
      </w:pPr>
      <w:r w:rsidRPr="00177BD4">
        <w:t>“</w:t>
      </w:r>
      <w:r w:rsidRPr="00177BD4">
        <w:rPr>
          <w:b/>
        </w:rPr>
        <w:t>Art. 2º </w:t>
      </w:r>
      <w:r w:rsidRPr="00177BD4">
        <w:t>A cooperação federativa de que trata o art. 1º, para fins</w:t>
      </w:r>
      <w:r>
        <w:t xml:space="preserve"> desta Lei</w:t>
      </w:r>
      <w:r w:rsidRPr="00177BD4">
        <w:t xml:space="preserve">, </w:t>
      </w:r>
      <w:proofErr w:type="gramStart"/>
      <w:r w:rsidRPr="00177BD4">
        <w:t>compreende</w:t>
      </w:r>
      <w:proofErr w:type="gramEnd"/>
      <w:r w:rsidRPr="00177BD4">
        <w:t xml:space="preserve"> operações conjuntas, transferências de recursos e desenvolvimento de atividades de capacitação e qualificação de profissionais, no âmbito da Força Nacional de Segurança Pública e da Secretaria Extraordinária de Segurança para Grandes Eventos.</w:t>
      </w:r>
    </w:p>
    <w:p w:rsidR="00A247A1" w:rsidRPr="00177BD4" w:rsidRDefault="00A247A1" w:rsidP="00A247A1">
      <w:pPr>
        <w:pStyle w:val="07-Citaolegal-CLG"/>
        <w:spacing w:after="360"/>
        <w:ind w:firstLine="0"/>
      </w:pPr>
      <w:proofErr w:type="gramStart"/>
      <w:r w:rsidRPr="00177BD4">
        <w:t>...........................................................................................</w:t>
      </w:r>
      <w:proofErr w:type="gramEnd"/>
      <w:r w:rsidRPr="00177BD4">
        <w:t>” (NR)</w:t>
      </w:r>
    </w:p>
    <w:p w:rsidR="00A247A1" w:rsidRPr="00177BD4" w:rsidRDefault="00A247A1" w:rsidP="00A247A1">
      <w:pPr>
        <w:pStyle w:val="07-Citaolegal-CLG"/>
      </w:pPr>
      <w:r w:rsidRPr="00177BD4">
        <w:lastRenderedPageBreak/>
        <w:t>“</w:t>
      </w:r>
      <w:r w:rsidRPr="00177BD4">
        <w:rPr>
          <w:b/>
        </w:rPr>
        <w:t>Art. </w:t>
      </w:r>
      <w:proofErr w:type="gramStart"/>
      <w:r w:rsidRPr="00177BD4">
        <w:rPr>
          <w:b/>
        </w:rPr>
        <w:t>3º </w:t>
      </w:r>
      <w:r w:rsidRPr="00177BD4">
        <w:t>...</w:t>
      </w:r>
      <w:proofErr w:type="gramEnd"/>
      <w:r w:rsidRPr="00177BD4">
        <w:t>.................................................................................</w:t>
      </w:r>
      <w:r>
        <w:t>.</w:t>
      </w:r>
    </w:p>
    <w:p w:rsidR="00A247A1" w:rsidRPr="00177BD4" w:rsidRDefault="00A247A1" w:rsidP="00A247A1">
      <w:pPr>
        <w:pStyle w:val="07-Citaolegal-CLG"/>
      </w:pPr>
      <w:proofErr w:type="gramStart"/>
      <w:r w:rsidRPr="00177BD4">
        <w:t>...................................................................</w:t>
      </w:r>
      <w:r>
        <w:t>...............................</w:t>
      </w:r>
      <w:r w:rsidRPr="00177BD4">
        <w:t>.</w:t>
      </w:r>
      <w:proofErr w:type="gramEnd"/>
    </w:p>
    <w:p w:rsidR="00A247A1" w:rsidRPr="00177BD4" w:rsidRDefault="00A247A1" w:rsidP="00A247A1">
      <w:pPr>
        <w:pStyle w:val="07-Citaolegal-CLG"/>
      </w:pPr>
      <w:r w:rsidRPr="00177BD4">
        <w:t xml:space="preserve">VII – as atividades relacionadas </w:t>
      </w:r>
      <w:r>
        <w:t>à segurança dos grandes eventos.</w:t>
      </w:r>
    </w:p>
    <w:p w:rsidR="00A247A1" w:rsidRPr="00177BD4" w:rsidRDefault="00A247A1" w:rsidP="00A247A1">
      <w:pPr>
        <w:pStyle w:val="08-Citaolegal-ltimalinha-CLG"/>
        <w:spacing w:after="360"/>
      </w:pPr>
      <w:r w:rsidRPr="00177BD4">
        <w:rPr>
          <w:i/>
        </w:rPr>
        <w:t>Parágrafo único</w:t>
      </w:r>
      <w:proofErr w:type="gramStart"/>
      <w:r w:rsidRPr="00177BD4">
        <w:t>. A cooperação federativa no âmbito da Secretaria Extraordinária de Grandes Eventos apenas ocorrerá para fins do cumprimento ao disposto no inciso VII</w:t>
      </w:r>
      <w:r>
        <w:t xml:space="preserve"> deste artigo</w:t>
      </w:r>
      <w:r w:rsidRPr="00177BD4">
        <w:t>.”</w:t>
      </w:r>
      <w:proofErr w:type="gramEnd"/>
      <w:r w:rsidRPr="00177BD4">
        <w:t xml:space="preserve"> (NR)</w:t>
      </w:r>
    </w:p>
    <w:p w:rsidR="00A247A1" w:rsidRPr="00177BD4" w:rsidRDefault="00A247A1" w:rsidP="00A247A1">
      <w:pPr>
        <w:pStyle w:val="06-Pargrafodetexto-CLG"/>
        <w:rPr>
          <w:szCs w:val="28"/>
        </w:rPr>
      </w:pPr>
      <w:r w:rsidRPr="00177BD4">
        <w:rPr>
          <w:b/>
          <w:szCs w:val="28"/>
        </w:rPr>
        <w:t>Art. 5º</w:t>
      </w:r>
      <w:r w:rsidRPr="00177BD4">
        <w:rPr>
          <w:szCs w:val="28"/>
        </w:rPr>
        <w:t> A Lei nº 11.977, de 7 de julho de 2009, passa a vigorar com as seguintes alterações:</w:t>
      </w:r>
    </w:p>
    <w:p w:rsidR="00A247A1" w:rsidRPr="00177BD4" w:rsidRDefault="00A247A1" w:rsidP="00A247A1">
      <w:pPr>
        <w:pStyle w:val="07-Citaolegal-CLG"/>
      </w:pPr>
      <w:r w:rsidRPr="00177BD4">
        <w:t>“</w:t>
      </w:r>
      <w:r w:rsidRPr="00177BD4">
        <w:rPr>
          <w:b/>
        </w:rPr>
        <w:t>Art. </w:t>
      </w:r>
      <w:proofErr w:type="gramStart"/>
      <w:r>
        <w:rPr>
          <w:b/>
        </w:rPr>
        <w:t>1</w:t>
      </w:r>
      <w:r w:rsidRPr="00177BD4">
        <w:rPr>
          <w:b/>
        </w:rPr>
        <w:t>º </w:t>
      </w:r>
      <w:r w:rsidRPr="00177BD4">
        <w:t>...</w:t>
      </w:r>
      <w:proofErr w:type="gramEnd"/>
      <w:r w:rsidRPr="00177BD4">
        <w:t>....................................................</w:t>
      </w:r>
      <w:r>
        <w:t>..............................</w:t>
      </w:r>
    </w:p>
    <w:p w:rsidR="00A247A1" w:rsidRPr="00177BD4" w:rsidRDefault="00A247A1" w:rsidP="00A247A1">
      <w:pPr>
        <w:pStyle w:val="07-Citaolegal-CLG"/>
      </w:pPr>
      <w:proofErr w:type="gramStart"/>
      <w:r w:rsidRPr="00177BD4">
        <w:t>...................................................................</w:t>
      </w:r>
      <w:r>
        <w:t>...............................</w:t>
      </w:r>
      <w:r w:rsidRPr="00177BD4">
        <w:t>.</w:t>
      </w:r>
      <w:proofErr w:type="gramEnd"/>
    </w:p>
    <w:p w:rsidR="00A247A1" w:rsidRDefault="00A247A1" w:rsidP="00A247A1">
      <w:pPr>
        <w:pStyle w:val="07-Citaolegal-CLG"/>
      </w:pPr>
      <w:r>
        <w:t>I</w:t>
      </w:r>
      <w:r w:rsidRPr="00177BD4">
        <w:t>II – </w:t>
      </w:r>
      <w:r>
        <w:t>Programa Nacional de Habitação dos Profissionais de Segurança Pública – PNHPSP.</w:t>
      </w:r>
    </w:p>
    <w:p w:rsidR="00A247A1" w:rsidRPr="00177BD4" w:rsidRDefault="00A247A1" w:rsidP="00A247A1">
      <w:pPr>
        <w:pStyle w:val="07-Citaolegal-CLG"/>
      </w:pPr>
      <w:r>
        <w:t>§ 1</w:t>
      </w:r>
      <w:proofErr w:type="gramStart"/>
      <w:r>
        <w:t>..............................................................................................</w:t>
      </w:r>
      <w:proofErr w:type="gramEnd"/>
    </w:p>
    <w:p w:rsidR="00A247A1" w:rsidRPr="00177BD4" w:rsidRDefault="00A247A1" w:rsidP="00A247A1">
      <w:pPr>
        <w:pStyle w:val="08-Citaolegal-ltimalinha-CLG"/>
        <w:spacing w:after="360"/>
      </w:pPr>
      <w:r w:rsidRPr="00EA76C0">
        <w:t>§ </w:t>
      </w:r>
      <w:proofErr w:type="gramStart"/>
      <w:r w:rsidRPr="00EA76C0">
        <w:t>2º</w:t>
      </w:r>
      <w:r>
        <w:rPr>
          <w:i/>
        </w:rPr>
        <w:t> </w:t>
      </w:r>
      <w:r w:rsidRPr="00EA76C0">
        <w:t xml:space="preserve">Exclusivamente nas operações previstas no inciso III </w:t>
      </w:r>
      <w:r>
        <w:t xml:space="preserve">do </w:t>
      </w:r>
      <w:r w:rsidRPr="00DA17C2">
        <w:rPr>
          <w:i/>
        </w:rPr>
        <w:t>caput</w:t>
      </w:r>
      <w:r>
        <w:t xml:space="preserve"> </w:t>
      </w:r>
      <w:r w:rsidRPr="00EA76C0">
        <w:t xml:space="preserve">deste artigo, será admitido o atendimento de interessados que tenha renda superior à prevista no </w:t>
      </w:r>
      <w:r w:rsidRPr="00EA76C0">
        <w:rPr>
          <w:i/>
        </w:rPr>
        <w:t>caput</w:t>
      </w:r>
      <w:r>
        <w:t>, na forma do regulamento</w:t>
      </w:r>
      <w:r w:rsidRPr="00177BD4">
        <w:t>.”</w:t>
      </w:r>
      <w:proofErr w:type="gramEnd"/>
      <w:r w:rsidRPr="00177BD4">
        <w:t xml:space="preserve"> (NR)</w:t>
      </w:r>
    </w:p>
    <w:p w:rsidR="00A247A1" w:rsidRPr="00177BD4" w:rsidRDefault="00A247A1" w:rsidP="00A247A1">
      <w:pPr>
        <w:pStyle w:val="05-Citaolegal-linhasiniciais-CLG"/>
      </w:pPr>
      <w:r w:rsidRPr="00177BD4">
        <w:t xml:space="preserve"> “</w:t>
      </w:r>
      <w:r w:rsidRPr="00177BD4">
        <w:rPr>
          <w:b/>
        </w:rPr>
        <w:t>Art. 6º-A</w:t>
      </w:r>
      <w:proofErr w:type="gramStart"/>
      <w:r w:rsidRPr="00177BD4">
        <w:t>................................................................................</w:t>
      </w:r>
      <w:proofErr w:type="gramEnd"/>
    </w:p>
    <w:p w:rsidR="00A247A1" w:rsidRPr="00177BD4" w:rsidRDefault="00A247A1" w:rsidP="00A247A1">
      <w:pPr>
        <w:pStyle w:val="05-Citaolegal-linhasiniciais-CLG"/>
        <w:ind w:firstLine="0"/>
      </w:pPr>
      <w:proofErr w:type="gramStart"/>
      <w:r w:rsidRPr="00177BD4">
        <w:t>....................................................................................................</w:t>
      </w:r>
      <w:proofErr w:type="gramEnd"/>
    </w:p>
    <w:p w:rsidR="00A247A1" w:rsidRPr="00177BD4" w:rsidRDefault="00A247A1" w:rsidP="00A247A1">
      <w:pPr>
        <w:pStyle w:val="05-Citaolegal-linhasiniciais-CLG"/>
      </w:pPr>
      <w:r w:rsidRPr="00177BD4">
        <w:t>§ </w:t>
      </w:r>
      <w:r>
        <w:t>3º</w:t>
      </w:r>
      <w:proofErr w:type="gramStart"/>
      <w:r w:rsidRPr="00177BD4">
        <w:t>............................................................................................</w:t>
      </w:r>
      <w:proofErr w:type="gramEnd"/>
    </w:p>
    <w:p w:rsidR="00A247A1" w:rsidRPr="00177BD4" w:rsidRDefault="00A247A1" w:rsidP="00A247A1">
      <w:pPr>
        <w:pStyle w:val="05-Citaolegal-linhasiniciais-CLG"/>
      </w:pPr>
      <w:proofErr w:type="gramStart"/>
      <w:r w:rsidRPr="00177BD4">
        <w:t>....................................................................</w:t>
      </w:r>
      <w:r>
        <w:t>...............................</w:t>
      </w:r>
      <w:proofErr w:type="gramEnd"/>
    </w:p>
    <w:p w:rsidR="00A247A1" w:rsidRPr="00177BD4" w:rsidRDefault="00A247A1" w:rsidP="00A247A1">
      <w:pPr>
        <w:pStyle w:val="05-Citaolegal-linhasiniciais-CLG"/>
      </w:pPr>
      <w:r w:rsidRPr="00177BD4">
        <w:t>II</w:t>
      </w:r>
      <w:r w:rsidRPr="00177BD4">
        <w:rPr>
          <w:szCs w:val="28"/>
        </w:rPr>
        <w:t> </w:t>
      </w:r>
      <w:r w:rsidRPr="00177BD4">
        <w:t>–</w:t>
      </w:r>
      <w:r w:rsidRPr="00177BD4">
        <w:rPr>
          <w:szCs w:val="28"/>
        </w:rPr>
        <w:t> </w:t>
      </w:r>
      <w:r w:rsidRPr="00177BD4">
        <w:t>forem vinculadas a intervenções financiadas por operações de crédito ao setor público, conforme hipóteses definidas no regulamento, e demandarem reassentamento, remanejamento ou substituição de unidades habitacionais;</w:t>
      </w:r>
    </w:p>
    <w:p w:rsidR="00A247A1" w:rsidRPr="00177BD4" w:rsidRDefault="00A247A1" w:rsidP="00A247A1">
      <w:pPr>
        <w:pStyle w:val="05-Citaolegal-linhasiniciais-CLG"/>
      </w:pPr>
      <w:r w:rsidRPr="00177BD4">
        <w:t>III</w:t>
      </w:r>
      <w:r w:rsidRPr="00177BD4">
        <w:rPr>
          <w:szCs w:val="28"/>
        </w:rPr>
        <w:t> </w:t>
      </w:r>
      <w:r w:rsidRPr="00177BD4">
        <w:t>–</w:t>
      </w:r>
      <w:r w:rsidRPr="00177BD4">
        <w:rPr>
          <w:szCs w:val="28"/>
        </w:rPr>
        <w:t> </w:t>
      </w:r>
      <w:r w:rsidRPr="00177BD4">
        <w:t xml:space="preserve">forem destinadas ao atendimento, nos casos de situação de emergência ou estado de calamidade </w:t>
      </w:r>
      <w:proofErr w:type="gramStart"/>
      <w:r w:rsidRPr="00177BD4">
        <w:t>pública reconhecidos pela União, a famílias desabrigadas que perderam seu único imóvel</w:t>
      </w:r>
      <w:proofErr w:type="gramEnd"/>
      <w:r w:rsidRPr="00177BD4">
        <w:t>; ou</w:t>
      </w:r>
    </w:p>
    <w:p w:rsidR="00A247A1" w:rsidRDefault="00A247A1" w:rsidP="00A247A1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pt-BR"/>
        </w:rPr>
      </w:pPr>
    </w:p>
    <w:p w:rsidR="00A247A1" w:rsidRPr="00177BD4" w:rsidRDefault="00A247A1" w:rsidP="00A247A1">
      <w:pPr>
        <w:pStyle w:val="05-Citaolegal-linhasiniciais-CLG"/>
      </w:pPr>
      <w:r w:rsidRPr="00177BD4">
        <w:t>IV</w:t>
      </w:r>
      <w:r w:rsidRPr="00177BD4">
        <w:rPr>
          <w:szCs w:val="28"/>
        </w:rPr>
        <w:t> </w:t>
      </w:r>
      <w:r w:rsidRPr="00177BD4">
        <w:t>–</w:t>
      </w:r>
      <w:r w:rsidRPr="00177BD4">
        <w:rPr>
          <w:szCs w:val="28"/>
        </w:rPr>
        <w:t> </w:t>
      </w:r>
      <w:r w:rsidRPr="00177BD4">
        <w:t>forem vinculadas a reassentamentos de famílias, indicadas pelo Poder Público municipal ou estadual, decorrentes de obras vincul</w:t>
      </w:r>
      <w:r>
        <w:t>adas à realização dos Jogos Rio </w:t>
      </w:r>
      <w:r w:rsidRPr="00177BD4">
        <w:t>2016, de q</w:t>
      </w:r>
      <w:r>
        <w:t>ue trata a Lei nº 12.035, de </w:t>
      </w:r>
      <w:r w:rsidRPr="00177BD4">
        <w:t xml:space="preserve">1º </w:t>
      </w:r>
      <w:r>
        <w:t>de outubro de </w:t>
      </w:r>
      <w:r w:rsidRPr="00177BD4">
        <w:t>2009.</w:t>
      </w:r>
    </w:p>
    <w:p w:rsidR="00A247A1" w:rsidRPr="00177BD4" w:rsidRDefault="00A247A1" w:rsidP="00A247A1">
      <w:pPr>
        <w:pStyle w:val="05-Citaolegal-linhasiniciais-CLG"/>
        <w:ind w:firstLine="0"/>
      </w:pPr>
      <w:proofErr w:type="gramStart"/>
      <w:r w:rsidRPr="00177BD4">
        <w:t>....................................................................................................</w:t>
      </w:r>
      <w:proofErr w:type="gramEnd"/>
    </w:p>
    <w:p w:rsidR="00A247A1" w:rsidRPr="00177BD4" w:rsidRDefault="00A247A1" w:rsidP="00A247A1">
      <w:pPr>
        <w:pStyle w:val="05-Citaolegal-linhasiniciais-CLG"/>
      </w:pPr>
      <w:r w:rsidRPr="00177BD4">
        <w:t>§ 10. Nos casos de operações previstas no inciso IV do § 3º</w:t>
      </w:r>
      <w:r>
        <w:t xml:space="preserve"> deste artigo</w:t>
      </w:r>
      <w:r w:rsidRPr="00177BD4">
        <w:t xml:space="preserve">, fica dispensado o atendimento aos dispositivos estabelecidos </w:t>
      </w:r>
      <w:r>
        <w:t>no art. 3º</w:t>
      </w:r>
      <w:r w:rsidRPr="00177BD4">
        <w:t xml:space="preserve"> e caberá ao Poder Público municipal ou estadual restituir integralmente os recursos aportados pelo FAR no </w:t>
      </w:r>
      <w:r w:rsidRPr="00177BD4">
        <w:lastRenderedPageBreak/>
        <w:t xml:space="preserve">ato da alienação do imóvel </w:t>
      </w:r>
      <w:proofErr w:type="gramStart"/>
      <w:r w:rsidRPr="00177BD4">
        <w:t>a beneficiário</w:t>
      </w:r>
      <w:proofErr w:type="gramEnd"/>
      <w:r w:rsidRPr="00177BD4">
        <w:t xml:space="preserve"> final cuja renda familiar mensal exceda o limite estabelecido no </w:t>
      </w:r>
      <w:r w:rsidRPr="00177BD4">
        <w:rPr>
          <w:i/>
        </w:rPr>
        <w:t>caput</w:t>
      </w:r>
      <w:r>
        <w:rPr>
          <w:i/>
        </w:rPr>
        <w:t xml:space="preserve"> </w:t>
      </w:r>
      <w:r>
        <w:t>deste artigo</w:t>
      </w:r>
      <w:r w:rsidRPr="00177BD4">
        <w:t>.</w:t>
      </w:r>
    </w:p>
    <w:p w:rsidR="00A247A1" w:rsidRPr="00177BD4" w:rsidRDefault="00A247A1" w:rsidP="00A247A1">
      <w:pPr>
        <w:pStyle w:val="06-Citaolegal-linhafinal-CLG"/>
        <w:spacing w:after="360"/>
      </w:pPr>
      <w:r w:rsidRPr="00177BD4">
        <w:t xml:space="preserve">§ 11. Serão disponibilizadas em sítio eletrônico informações relativas às operações previstas no inciso IV do § 3º </w:t>
      </w:r>
      <w:r>
        <w:t xml:space="preserve">deste artigo </w:t>
      </w:r>
      <w:r w:rsidRPr="00177BD4">
        <w:t>com a identificação do beneficiário final, os respectivos valores advindos da integralização de cotas do FAR e os valores restituídos ao FAR pelo Poder Público municipal ou estadual.” (NR</w:t>
      </w:r>
      <w:proofErr w:type="gramStart"/>
      <w:r w:rsidRPr="00177BD4">
        <w:t>)</w:t>
      </w:r>
      <w:proofErr w:type="gramEnd"/>
    </w:p>
    <w:p w:rsidR="00A247A1" w:rsidRPr="00177BD4" w:rsidRDefault="00A247A1" w:rsidP="00A247A1">
      <w:pPr>
        <w:pStyle w:val="06-Pargrafodetexto-CLG"/>
      </w:pPr>
      <w:bookmarkStart w:id="3" w:name="art5"/>
      <w:bookmarkEnd w:id="3"/>
      <w:r w:rsidRPr="00177BD4">
        <w:rPr>
          <w:b/>
        </w:rPr>
        <w:t>Art. 6º</w:t>
      </w:r>
      <w:r w:rsidRPr="00177BD4">
        <w:t> A Lei nº 12.035, de 1º de outubro de 2009, passa a vigorar com a seguinte alteraç</w:t>
      </w:r>
      <w:r>
        <w:t>ão</w:t>
      </w:r>
      <w:r w:rsidRPr="00177BD4">
        <w:t>:</w:t>
      </w:r>
    </w:p>
    <w:p w:rsidR="00A247A1" w:rsidRPr="00177BD4" w:rsidRDefault="00A247A1" w:rsidP="00A247A1">
      <w:pPr>
        <w:pStyle w:val="07-Citaolegal-CLG"/>
      </w:pPr>
      <w:r w:rsidRPr="00177BD4">
        <w:t>“</w:t>
      </w:r>
      <w:r w:rsidRPr="00177BD4">
        <w:rPr>
          <w:b/>
        </w:rPr>
        <w:t>Art. 2º-A. </w:t>
      </w:r>
      <w:r w:rsidRPr="00177BD4">
        <w:t xml:space="preserve">Deverão ser concedidos, sem qualquer restrição quanto à nacionalidade, raça ou credo, vistos de entrada, aplicando-se, subsidiariamente, no que </w:t>
      </w:r>
      <w:proofErr w:type="gramStart"/>
      <w:r w:rsidRPr="00177BD4">
        <w:t>couber</w:t>
      </w:r>
      <w:proofErr w:type="gramEnd"/>
      <w:r w:rsidRPr="00177BD4">
        <w:t>, as disposições da Lei n</w:t>
      </w:r>
      <w:r w:rsidRPr="00177BD4">
        <w:rPr>
          <w:vertAlign w:val="superscript"/>
        </w:rPr>
        <w:t>o</w:t>
      </w:r>
      <w:r w:rsidRPr="00177BD4">
        <w:t> 6.815, de 19 de agosto de 1980, para espectadores que possuam ingressos ou confirmação de aquisição de ingressos válidos para qualquer evento dos Jogos Rio 2016</w:t>
      </w:r>
      <w:r>
        <w:t xml:space="preserve"> e comprovem que possuam meio de transporte de entrada e saída do território nacional</w:t>
      </w:r>
      <w:r w:rsidRPr="00177BD4">
        <w:t>.</w:t>
      </w:r>
    </w:p>
    <w:p w:rsidR="00A247A1" w:rsidRPr="00177BD4" w:rsidRDefault="00A247A1" w:rsidP="00A247A1">
      <w:pPr>
        <w:pStyle w:val="07-Citaolegal-CLG"/>
      </w:pPr>
      <w:r w:rsidRPr="00177BD4">
        <w:t xml:space="preserve">§ 1º O prazo de validade dos vistos de entrada concedidos consoante o </w:t>
      </w:r>
      <w:r w:rsidRPr="00177BD4">
        <w:rPr>
          <w:i/>
        </w:rPr>
        <w:t>caput</w:t>
      </w:r>
      <w:r w:rsidRPr="00177BD4">
        <w:t xml:space="preserve"> deste artigo será restrita ao período compreendido entre </w:t>
      </w:r>
      <w:proofErr w:type="gramStart"/>
      <w:r w:rsidRPr="00177BD4">
        <w:t>5</w:t>
      </w:r>
      <w:proofErr w:type="gramEnd"/>
      <w:r w:rsidRPr="00177BD4">
        <w:t xml:space="preserve"> de julho e </w:t>
      </w:r>
      <w:r>
        <w:t>1</w:t>
      </w:r>
      <w:r w:rsidRPr="00177BD4">
        <w:t xml:space="preserve">8 de </w:t>
      </w:r>
      <w:r>
        <w:t>setembro</w:t>
      </w:r>
      <w:r w:rsidRPr="00177BD4">
        <w:t xml:space="preserve"> de 2016, sendo o prazo de estada dos portadores de até 90 dias, improrrogáveis</w:t>
      </w:r>
      <w:r>
        <w:t>, a contar da data de primeira entrada em território nacional</w:t>
      </w:r>
      <w:r w:rsidRPr="00177BD4">
        <w:t>.</w:t>
      </w:r>
    </w:p>
    <w:p w:rsidR="00A247A1" w:rsidRPr="00177BD4" w:rsidRDefault="00A247A1" w:rsidP="00A247A1">
      <w:pPr>
        <w:pStyle w:val="07-Citaolegal-CLG"/>
      </w:pPr>
      <w:r w:rsidRPr="00177BD4">
        <w:t xml:space="preserve">§ 2º Considera-se documentação suficiente para obtenção do visto de entrada definido pelo </w:t>
      </w:r>
      <w:r w:rsidRPr="00177BD4">
        <w:rPr>
          <w:i/>
        </w:rPr>
        <w:t>caput</w:t>
      </w:r>
      <w:r w:rsidRPr="00177BD4">
        <w:t xml:space="preserve"> deste artigo ou para o ingresso no território nacional o passaporte válido ou documento de viagem equivalente, em conjunto com qualquer instrumento que demonstre a vinculação de seu titular com os Jogos Rio 2016</w:t>
      </w:r>
      <w:r w:rsidRPr="00A90C2C">
        <w:t xml:space="preserve"> </w:t>
      </w:r>
      <w:r>
        <w:t>e a comprovação de possuir meio de transporte de entrada e saída do território nacional</w:t>
      </w:r>
      <w:r w:rsidRPr="00177BD4">
        <w:t>.</w:t>
      </w:r>
    </w:p>
    <w:p w:rsidR="00A247A1" w:rsidRPr="00177BD4" w:rsidRDefault="00A247A1" w:rsidP="00A247A1">
      <w:pPr>
        <w:pStyle w:val="07-Citaolegal-CLG"/>
      </w:pPr>
      <w:r w:rsidRPr="00177BD4">
        <w:t xml:space="preserve">§ 3º O disposto no </w:t>
      </w:r>
      <w:r w:rsidRPr="00177BD4">
        <w:rPr>
          <w:i/>
        </w:rPr>
        <w:t>caput</w:t>
      </w:r>
      <w:r w:rsidRPr="00177BD4">
        <w:t xml:space="preserve"> deste artigo não constituirá impedimento à denegação de visto e ao impedimento à entrada, nas hipóteses previstas nos </w:t>
      </w:r>
      <w:proofErr w:type="spellStart"/>
      <w:r w:rsidRPr="00177BD4">
        <w:t>arts</w:t>
      </w:r>
      <w:proofErr w:type="spellEnd"/>
      <w:r w:rsidRPr="00177BD4">
        <w:t>. 7º e 26 da Lei n</w:t>
      </w:r>
      <w:r w:rsidRPr="00177BD4">
        <w:rPr>
          <w:vertAlign w:val="superscript"/>
        </w:rPr>
        <w:t>o</w:t>
      </w:r>
      <w:r w:rsidRPr="00177BD4">
        <w:t> 6.815, de 19 de agosto de 1980.</w:t>
      </w:r>
    </w:p>
    <w:p w:rsidR="00A247A1" w:rsidRPr="00177BD4" w:rsidRDefault="00A247A1" w:rsidP="00A247A1">
      <w:pPr>
        <w:pStyle w:val="07-Citaolegal-CLG"/>
      </w:pPr>
      <w:r w:rsidRPr="00177BD4">
        <w:t xml:space="preserve">§ 4º A concessão de vistos de entrada a que se refere o </w:t>
      </w:r>
      <w:r w:rsidRPr="00177BD4">
        <w:rPr>
          <w:i/>
        </w:rPr>
        <w:t>caput</w:t>
      </w:r>
      <w:r w:rsidRPr="00177BD4">
        <w:t xml:space="preserve"> deste artigo, quando concedidos no exterior, pelas Missões diplomáticas, Repartições consulares de carreira, Vice-Consulares e, quando autorizados pela Secretaria de Estado das Relações Exteriores, pelos Consulados honorários terá caráter prioritário na sua emissão.</w:t>
      </w:r>
    </w:p>
    <w:p w:rsidR="00A247A1" w:rsidRPr="00177BD4" w:rsidRDefault="00A247A1" w:rsidP="00A247A1">
      <w:pPr>
        <w:pStyle w:val="06-Citaolegal-linhafinal-CLG"/>
      </w:pPr>
      <w:r w:rsidRPr="00177BD4">
        <w:t>§ </w:t>
      </w:r>
      <w:proofErr w:type="gramStart"/>
      <w:r w:rsidRPr="00177BD4">
        <w:t xml:space="preserve">5º Os vistos de entrada concedidos consoante o </w:t>
      </w:r>
      <w:r w:rsidRPr="00177BD4">
        <w:rPr>
          <w:i/>
        </w:rPr>
        <w:t>caput</w:t>
      </w:r>
      <w:r w:rsidRPr="00177BD4">
        <w:t xml:space="preserve"> deste artigo </w:t>
      </w:r>
      <w:r>
        <w:t>poderão</w:t>
      </w:r>
      <w:r w:rsidRPr="00177BD4">
        <w:t xml:space="preserve"> ser emitidos mediante meio eletrônico, na forma disciplinada pelo Poder Executivo.”</w:t>
      </w:r>
      <w:proofErr w:type="gramEnd"/>
    </w:p>
    <w:p w:rsidR="00A247A1" w:rsidRPr="00177BD4" w:rsidRDefault="00A247A1" w:rsidP="00A247A1">
      <w:pPr>
        <w:pStyle w:val="06-Citaolegal-linhafinal-CLG"/>
        <w:spacing w:after="360"/>
      </w:pPr>
      <w:r w:rsidRPr="00177BD4">
        <w:t>“</w:t>
      </w:r>
      <w:r w:rsidRPr="00177BD4">
        <w:rPr>
          <w:b/>
        </w:rPr>
        <w:t>Art. 5º </w:t>
      </w:r>
      <w:r w:rsidRPr="00177BD4">
        <w:t xml:space="preserve">É facultada a cessão de uso de imóveis habitacionais de propriedade ou posse da União ou integrantes do patrimônio de </w:t>
      </w:r>
      <w:r w:rsidRPr="00177BD4">
        <w:lastRenderedPageBreak/>
        <w:t>fundos geridos por órgãos da administração federal direta ou indireta para atividades relacionadas à realização dos Jogos Rio 2016, na forma regulamentada pelo Poder Executivo.” (NR</w:t>
      </w:r>
      <w:proofErr w:type="gramStart"/>
      <w:r w:rsidRPr="00177BD4">
        <w:t>)</w:t>
      </w:r>
      <w:proofErr w:type="gramEnd"/>
    </w:p>
    <w:p w:rsidR="00A247A1" w:rsidRPr="00177BD4" w:rsidRDefault="00A247A1" w:rsidP="00A247A1">
      <w:pPr>
        <w:pStyle w:val="06-Pargrafodetexto-CLG"/>
      </w:pPr>
      <w:bookmarkStart w:id="4" w:name="art6"/>
      <w:bookmarkStart w:id="5" w:name="art7"/>
      <w:bookmarkEnd w:id="4"/>
      <w:bookmarkEnd w:id="5"/>
      <w:r w:rsidRPr="00177BD4">
        <w:rPr>
          <w:b/>
        </w:rPr>
        <w:t>Art. 7º</w:t>
      </w:r>
      <w:r w:rsidRPr="00177BD4">
        <w:t> A Lei nº 12.462, de 4 de agosto de 2011, passa a vigorar com a seguinte alteração:</w:t>
      </w:r>
    </w:p>
    <w:p w:rsidR="00A247A1" w:rsidRDefault="00A247A1" w:rsidP="00A247A1">
      <w:pPr>
        <w:pStyle w:val="05-Citaolegal-linhasiniciais-CLG"/>
      </w:pPr>
      <w:r w:rsidRPr="00177BD4">
        <w:t>“</w:t>
      </w:r>
      <w:r w:rsidRPr="00177BD4">
        <w:rPr>
          <w:b/>
        </w:rPr>
        <w:t>Art. </w:t>
      </w:r>
      <w:proofErr w:type="gramStart"/>
      <w:r w:rsidRPr="00177BD4">
        <w:rPr>
          <w:b/>
        </w:rPr>
        <w:t>4º </w:t>
      </w:r>
      <w:r w:rsidRPr="00177BD4">
        <w:t>...</w:t>
      </w:r>
      <w:proofErr w:type="gramEnd"/>
      <w:r w:rsidRPr="00177BD4">
        <w:t>.............................................................................</w:t>
      </w:r>
    </w:p>
    <w:p w:rsidR="00A247A1" w:rsidRPr="00177BD4" w:rsidRDefault="00A247A1" w:rsidP="00A247A1">
      <w:pPr>
        <w:pStyle w:val="05-Citaolegal-linhasiniciais-CLG"/>
      </w:pPr>
      <w:proofErr w:type="gramStart"/>
      <w:r>
        <w:t>...............................................................................................</w:t>
      </w:r>
      <w:proofErr w:type="gramEnd"/>
    </w:p>
    <w:p w:rsidR="00A247A1" w:rsidRPr="00177BD4" w:rsidRDefault="00A247A1" w:rsidP="00A247A1">
      <w:pPr>
        <w:pStyle w:val="07-Citaolegal-CLG"/>
      </w:pPr>
      <w:r w:rsidRPr="00177BD4">
        <w:t>VII – ampla publicidade de todas as fases e os procedimentos do processo de licitação, assim como dos contratos, em sítio eletrônico</w:t>
      </w:r>
      <w:r>
        <w:t>, respeitado o art. 6º desta Lei</w:t>
      </w:r>
      <w:r w:rsidRPr="00177BD4">
        <w:t>.</w:t>
      </w:r>
    </w:p>
    <w:p w:rsidR="00A247A1" w:rsidRPr="00177BD4" w:rsidRDefault="00A247A1" w:rsidP="00A247A1">
      <w:pPr>
        <w:pStyle w:val="07-Citaolegal-CLG"/>
        <w:spacing w:after="360"/>
        <w:ind w:firstLine="0"/>
        <w:rPr>
          <w:bCs w:val="0"/>
        </w:rPr>
      </w:pPr>
      <w:proofErr w:type="gramStart"/>
      <w:r w:rsidRPr="00177BD4">
        <w:rPr>
          <w:bCs w:val="0"/>
        </w:rPr>
        <w:t>...........................................................................................</w:t>
      </w:r>
      <w:proofErr w:type="gramEnd"/>
      <w:r w:rsidRPr="00177BD4">
        <w:rPr>
          <w:bCs w:val="0"/>
        </w:rPr>
        <w:t>” (NR)</w:t>
      </w:r>
    </w:p>
    <w:p w:rsidR="00A247A1" w:rsidRPr="00177BD4" w:rsidRDefault="00A247A1" w:rsidP="00A247A1">
      <w:pPr>
        <w:pStyle w:val="06-Pargrafodetexto-CLG"/>
      </w:pPr>
      <w:bookmarkStart w:id="6" w:name="_GoBack"/>
      <w:r w:rsidRPr="00177BD4">
        <w:rPr>
          <w:b/>
        </w:rPr>
        <w:t>Art. </w:t>
      </w:r>
      <w:r>
        <w:rPr>
          <w:b/>
        </w:rPr>
        <w:t>8</w:t>
      </w:r>
      <w:r w:rsidRPr="00177BD4">
        <w:rPr>
          <w:b/>
        </w:rPr>
        <w:t>º </w:t>
      </w:r>
      <w:r w:rsidRPr="00177BD4">
        <w:t xml:space="preserve">Esta </w:t>
      </w:r>
      <w:r>
        <w:t>Lei</w:t>
      </w:r>
      <w:r w:rsidRPr="00177BD4">
        <w:t xml:space="preserve"> entra em vigor na data de sua publicação.</w:t>
      </w:r>
      <w:bookmarkEnd w:id="6"/>
    </w:p>
    <w:p w:rsidR="00A247A1" w:rsidRDefault="00A247A1" w:rsidP="00A247A1">
      <w:pPr>
        <w:pStyle w:val="10-Local-CLG"/>
        <w:spacing w:before="600" w:after="600"/>
      </w:pPr>
      <w:r w:rsidRPr="00177BD4">
        <w:t>Sala da Comissão,</w:t>
      </w:r>
      <w:r>
        <w:t xml:space="preserve"> 09 de setembro de </w:t>
      </w:r>
      <w:proofErr w:type="gramStart"/>
      <w:r>
        <w:t>2015</w:t>
      </w:r>
      <w:proofErr w:type="gramEnd"/>
    </w:p>
    <w:p w:rsidR="00687226" w:rsidRDefault="00687226" w:rsidP="00A247A1">
      <w:pPr>
        <w:pStyle w:val="10-Local-CLG"/>
        <w:spacing w:before="0" w:after="0"/>
        <w:ind w:firstLine="2517"/>
      </w:pPr>
    </w:p>
    <w:p w:rsidR="00A247A1" w:rsidRDefault="00A247A1" w:rsidP="00A247A1">
      <w:pPr>
        <w:pStyle w:val="10-Local-CLG"/>
        <w:spacing w:before="0" w:after="0"/>
        <w:ind w:firstLine="2517"/>
      </w:pPr>
      <w:r>
        <w:t xml:space="preserve">Deputado Alessandro </w:t>
      </w:r>
      <w:proofErr w:type="spellStart"/>
      <w:r>
        <w:t>Molon</w:t>
      </w:r>
      <w:proofErr w:type="spellEnd"/>
    </w:p>
    <w:p w:rsidR="00A247A1" w:rsidRPr="00177BD4" w:rsidRDefault="00A247A1" w:rsidP="00A247A1">
      <w:pPr>
        <w:pStyle w:val="10-Local-CLG"/>
        <w:spacing w:before="0" w:after="0"/>
        <w:ind w:firstLine="2517"/>
      </w:pPr>
      <w:r>
        <w:t>Presidente da Comissão Mista</w:t>
      </w:r>
    </w:p>
    <w:p w:rsidR="00A247A1" w:rsidRDefault="00A247A1" w:rsidP="002862EA">
      <w:pPr>
        <w:pStyle w:val="02-TtuloPrincipal-CLG"/>
      </w:pPr>
    </w:p>
    <w:p w:rsidR="00A247A1" w:rsidRPr="002B7225" w:rsidRDefault="00A247A1" w:rsidP="002862EA">
      <w:pPr>
        <w:pStyle w:val="02-TtuloPrincipal-CLG"/>
      </w:pPr>
    </w:p>
    <w:p w:rsidR="00172D52" w:rsidRPr="002B7225" w:rsidRDefault="00172D52" w:rsidP="00172D52">
      <w:pPr>
        <w:pStyle w:val="06-Pargrafodetexto-CLG"/>
        <w:ind w:firstLine="0"/>
        <w:rPr>
          <w:b/>
          <w:bCs/>
        </w:rPr>
      </w:pPr>
    </w:p>
    <w:sectPr w:rsidR="00172D52" w:rsidRPr="002B7225" w:rsidSect="00895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2D52"/>
    <w:rsid w:val="00041E76"/>
    <w:rsid w:val="00106EE7"/>
    <w:rsid w:val="00172D52"/>
    <w:rsid w:val="002862EA"/>
    <w:rsid w:val="002B7225"/>
    <w:rsid w:val="003A3F01"/>
    <w:rsid w:val="003B4DF7"/>
    <w:rsid w:val="005758A6"/>
    <w:rsid w:val="005B33E6"/>
    <w:rsid w:val="00687226"/>
    <w:rsid w:val="006A1484"/>
    <w:rsid w:val="00895295"/>
    <w:rsid w:val="00A247A1"/>
    <w:rsid w:val="00DA3AD0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5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-Pargrafodetexto-CLG">
    <w:name w:val="06 - Parágrafo de texto - CLG"/>
    <w:link w:val="06-Pargrafodetexto-CLGChar"/>
    <w:rsid w:val="00172D52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06-Pargrafodetexto-CLGChar">
    <w:name w:val="06 - Parágrafo de texto - CLG Char"/>
    <w:link w:val="06-Pargrafodetexto-CLG"/>
    <w:rsid w:val="00172D52"/>
    <w:rPr>
      <w:rFonts w:ascii="Times New Roman" w:eastAsia="Times New Roman" w:hAnsi="Times New Roman" w:cs="Times New Roman"/>
      <w:sz w:val="28"/>
      <w:lang w:eastAsia="pt-BR"/>
    </w:rPr>
  </w:style>
  <w:style w:type="character" w:styleId="Hyperlink">
    <w:name w:val="Hyperlink"/>
    <w:uiPriority w:val="99"/>
    <w:unhideWhenUsed/>
    <w:rsid w:val="00172D52"/>
    <w:rPr>
      <w:color w:val="0000FF"/>
      <w:u w:val="single"/>
    </w:rPr>
  </w:style>
  <w:style w:type="paragraph" w:customStyle="1" w:styleId="02-TtuloPrincipal-CLG">
    <w:name w:val="02 - Título Principal - CLG"/>
    <w:link w:val="02-TtuloPrincipal-CLGChar"/>
    <w:rsid w:val="002862EA"/>
    <w:pPr>
      <w:spacing w:after="9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02-TtuloPrincipal-CLGChar">
    <w:name w:val="02 - Título Principal - CLG Char"/>
    <w:link w:val="02-TtuloPrincipal-CLG"/>
    <w:rsid w:val="002862EA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customStyle="1" w:styleId="03-Ementa-CLG">
    <w:name w:val="03 - Ementa - CLG"/>
    <w:link w:val="03-Ementa-CLGCharChar"/>
    <w:rsid w:val="00A247A1"/>
    <w:pPr>
      <w:spacing w:after="960" w:line="240" w:lineRule="auto"/>
      <w:ind w:left="3686"/>
      <w:jc w:val="both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03-Ementa-CLGCharChar">
    <w:name w:val="03 - Ementa - CLG Char Char"/>
    <w:basedOn w:val="Fontepargpadro"/>
    <w:link w:val="03-Ementa-CLG"/>
    <w:rsid w:val="00A247A1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10-Local-CLG">
    <w:name w:val="10 - Local - CLG"/>
    <w:link w:val="10-Local-CLGChar"/>
    <w:rsid w:val="00A247A1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rsid w:val="00A24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7-Citaolegal-CLG">
    <w:name w:val="07 - Citação legal - CLG"/>
    <w:rsid w:val="00A247A1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08-Citaolegal-ltimalinha-CLG">
    <w:name w:val="08 - Citação legal - última linha - CLG"/>
    <w:rsid w:val="00A247A1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5-Citaolegal-linhasiniciais-CLG">
    <w:name w:val="05 - Citação legal - linhas iniciais - CLG"/>
    <w:rsid w:val="00A247A1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06-Citaolegal-linhafinal-CLG">
    <w:name w:val="06 - Citação legal - linha final - CLG"/>
    <w:rsid w:val="00A247A1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1549</Words>
  <Characters>8370</Characters>
  <Application>Microsoft Office Word</Application>
  <DocSecurity>0</DocSecurity>
  <Lines>69</Lines>
  <Paragraphs>19</Paragraphs>
  <ScaleCrop>false</ScaleCrop>
  <Company>Senado Federal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chayashi</dc:creator>
  <cp:lastModifiedBy>brunobbv</cp:lastModifiedBy>
  <cp:revision>7</cp:revision>
  <cp:lastPrinted>2015-09-08T19:38:00Z</cp:lastPrinted>
  <dcterms:created xsi:type="dcterms:W3CDTF">2015-09-08T18:43:00Z</dcterms:created>
  <dcterms:modified xsi:type="dcterms:W3CDTF">2015-09-09T19:18:00Z</dcterms:modified>
</cp:coreProperties>
</file>