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CB" w:rsidRDefault="00A85ECB" w:rsidP="00A85ECB">
      <w:pPr>
        <w:pStyle w:val="01-Minuta-CLG"/>
      </w:pPr>
    </w:p>
    <w:p w:rsidR="00A85ECB" w:rsidRDefault="00C218D0" w:rsidP="00A85ECB">
      <w:pPr>
        <w:pStyle w:val="02-TtuloPrincipal-CLG"/>
      </w:pPr>
      <w:r>
        <w:rPr>
          <w:caps/>
        </w:rPr>
        <w:t>Parecer</w:t>
      </w:r>
      <w:r w:rsidR="00A85ECB">
        <w:t xml:space="preserve"> </w:t>
      </w:r>
      <w:proofErr w:type="gramStart"/>
      <w:r w:rsidR="00A85ECB">
        <w:t>Nº       ,</w:t>
      </w:r>
      <w:proofErr w:type="gramEnd"/>
      <w:r w:rsidR="00A85ECB">
        <w:t xml:space="preserve"> DE 2015</w:t>
      </w:r>
    </w:p>
    <w:p w:rsidR="00A85ECB" w:rsidRDefault="00C218D0" w:rsidP="00A85ECB">
      <w:pPr>
        <w:pStyle w:val="03-Ementa-CLG"/>
      </w:pPr>
      <w:r>
        <w:t>Da COMISSÃO DE DESENVOLVIMENTO REGIONAL E TURISMO</w:t>
      </w:r>
      <w:r w:rsidR="00BB718E">
        <w:t xml:space="preserve"> (CDR)</w:t>
      </w:r>
      <w:r>
        <w:t xml:space="preserve">, sobre o Projeto de Lei do Senado (PLS) nº 408, de 2012, do Senador Rodrigo </w:t>
      </w:r>
      <w:proofErr w:type="spellStart"/>
      <w:r>
        <w:t>Rollemberg</w:t>
      </w:r>
      <w:proofErr w:type="spellEnd"/>
      <w:r>
        <w:t xml:space="preserve">, que </w:t>
      </w:r>
      <w:r>
        <w:rPr>
          <w:i/>
        </w:rPr>
        <w:t xml:space="preserve">altera a Lei nº 6.766, de 19 de dezembro de 1979, que dispõe sobre o parcelamento do solo urbano e dá outras providências, para alargar a faixa não </w:t>
      </w:r>
      <w:proofErr w:type="spellStart"/>
      <w:r>
        <w:rPr>
          <w:i/>
        </w:rPr>
        <w:t>edificável</w:t>
      </w:r>
      <w:proofErr w:type="spellEnd"/>
      <w:r>
        <w:rPr>
          <w:i/>
        </w:rPr>
        <w:t xml:space="preserve"> ao longo das águas correntes e dormentes e das faixas de domínio público das rodovias e ferrovias</w:t>
      </w:r>
      <w:r>
        <w:t xml:space="preserve">; e o PLS nº 66, de 2014, do Senador Paulo Bauer, que </w:t>
      </w:r>
      <w:r>
        <w:rPr>
          <w:i/>
        </w:rPr>
        <w:t xml:space="preserve">altera a Lei nº 6.766, de 19 de dezembro de 1979, que dispõe sobre o parcelamento do solo urbano e dá outras providências, para dispor sobre o estabelecimento de faixas </w:t>
      </w:r>
      <w:proofErr w:type="spellStart"/>
      <w:proofErr w:type="gramStart"/>
      <w:r>
        <w:rPr>
          <w:i/>
        </w:rPr>
        <w:t>não-edificáveis</w:t>
      </w:r>
      <w:proofErr w:type="spellEnd"/>
      <w:proofErr w:type="gramEnd"/>
      <w:r>
        <w:rPr>
          <w:i/>
        </w:rPr>
        <w:t xml:space="preserve"> e limitações à </w:t>
      </w:r>
      <w:proofErr w:type="spellStart"/>
      <w:r>
        <w:rPr>
          <w:i/>
        </w:rPr>
        <w:t>edificabilidade</w:t>
      </w:r>
      <w:proofErr w:type="spellEnd"/>
      <w:r>
        <w:rPr>
          <w:i/>
        </w:rPr>
        <w:t xml:space="preserve"> em loteamentos urbanos</w:t>
      </w:r>
      <w:r>
        <w:t>.</w:t>
      </w:r>
    </w:p>
    <w:p w:rsidR="00A85ECB" w:rsidRDefault="00C218D0" w:rsidP="00A85ECB">
      <w:pPr>
        <w:pStyle w:val="04-Relatoria-CLG"/>
      </w:pPr>
      <w:r>
        <w:t xml:space="preserve">Relator: Senador </w:t>
      </w:r>
      <w:r>
        <w:rPr>
          <w:b/>
          <w:caps/>
        </w:rPr>
        <w:t>José Pimentel</w:t>
      </w:r>
    </w:p>
    <w:p w:rsidR="00A85ECB" w:rsidRDefault="00A85ECB" w:rsidP="00A85ECB">
      <w:pPr>
        <w:pStyle w:val="05-Subttulo-CLG"/>
      </w:pPr>
      <w:r>
        <w:t>I – RELATÓRIO</w:t>
      </w:r>
    </w:p>
    <w:p w:rsidR="00985705" w:rsidRDefault="00845989" w:rsidP="00985705">
      <w:pPr>
        <w:pStyle w:val="06-Pargrafodetexto-CLG"/>
      </w:pPr>
      <w:r>
        <w:t>Encontram-se nesta Comissão, tramitando em conjunto, duas proposições que visam a alterar o art. 4º, III, da Lei nº 6.766, de 19 de dezembro de 1979, que dispõe sobre o parcelamento do solo urbano</w:t>
      </w:r>
      <w:r w:rsidR="00B555FF">
        <w:t>. Esse dispositivo</w:t>
      </w:r>
      <w:r>
        <w:t xml:space="preserve"> </w:t>
      </w:r>
      <w:r w:rsidR="00B555FF">
        <w:t xml:space="preserve">exige que se reserve uma </w:t>
      </w:r>
      <w:r>
        <w:t xml:space="preserve">faixa não </w:t>
      </w:r>
      <w:proofErr w:type="spellStart"/>
      <w:r>
        <w:t>edificáve</w:t>
      </w:r>
      <w:r w:rsidR="00B555FF">
        <w:t>l</w:t>
      </w:r>
      <w:proofErr w:type="spellEnd"/>
      <w:r w:rsidR="00B555FF">
        <w:t xml:space="preserve"> de quinze metros</w:t>
      </w:r>
      <w:r>
        <w:t xml:space="preserve"> ao longo de cursos d’água, ferrovias e rodovias. </w:t>
      </w:r>
    </w:p>
    <w:p w:rsidR="00B60270" w:rsidRDefault="00985705" w:rsidP="00B60270">
      <w:pPr>
        <w:pStyle w:val="06-Pargrafodetexto-CLG"/>
      </w:pPr>
      <w:r>
        <w:t xml:space="preserve">O Projeto de Lei do Senado (PLS) nº 408, de 2012, do </w:t>
      </w:r>
      <w:proofErr w:type="spellStart"/>
      <w:proofErr w:type="gramStart"/>
      <w:r>
        <w:t>ex-Senador</w:t>
      </w:r>
      <w:proofErr w:type="spellEnd"/>
      <w:proofErr w:type="gramEnd"/>
      <w:r>
        <w:t xml:space="preserve"> Rodrigo </w:t>
      </w:r>
      <w:proofErr w:type="spellStart"/>
      <w:r>
        <w:t>Rollemberg</w:t>
      </w:r>
      <w:proofErr w:type="spellEnd"/>
      <w:r>
        <w:t>, pretende a</w:t>
      </w:r>
      <w:r w:rsidR="00B555FF">
        <w:t xml:space="preserve">umentar a </w:t>
      </w:r>
      <w:r>
        <w:t>larg</w:t>
      </w:r>
      <w:r w:rsidR="00B555FF">
        <w:t>ur</w:t>
      </w:r>
      <w:r>
        <w:t xml:space="preserve">a </w:t>
      </w:r>
      <w:r w:rsidR="00B555FF">
        <w:t>d</w:t>
      </w:r>
      <w:r w:rsidR="00845989">
        <w:t xml:space="preserve">essa faixa </w:t>
      </w:r>
      <w:r>
        <w:t>para trinta metros.</w:t>
      </w:r>
      <w:r w:rsidR="00845989" w:rsidRPr="00845989">
        <w:t xml:space="preserve"> </w:t>
      </w:r>
    </w:p>
    <w:p w:rsidR="00B60270" w:rsidRDefault="00B60270" w:rsidP="00B60270">
      <w:pPr>
        <w:pStyle w:val="06-Pargrafodetexto-CLG"/>
      </w:pPr>
      <w:r>
        <w:lastRenderedPageBreak/>
        <w:t>O autor considera que, no Brasil, “com notável frequência”, as ocupações urbanas aproximam-se tanto das rodovias “que estas perdem seu caráter inicial de vias de tráfego rápido, passando a assemelhar-se a vias urbanas, em prejuízo das funções a que a estrada originalmente implantada deveria atender”. Para ele, esse processo de desvirtuamento, “presente não apenas em rodovias, mas também em ferrovias”, não apenas impede uma operação segura e eficaz dos sistemas de transporte, mas também “enseja graves ameaças à segurança física de moradores e transeuntes”. Entende, ainda, que a modificação proposta permitirá tornar a lei de parcelamento</w:t>
      </w:r>
      <w:r w:rsidR="00BB718E">
        <w:t xml:space="preserve"> do solo </w:t>
      </w:r>
      <w:proofErr w:type="gramStart"/>
      <w:r>
        <w:t>urbano “mais consentânea</w:t>
      </w:r>
      <w:proofErr w:type="gramEnd"/>
      <w:r>
        <w:t xml:space="preserve">” com o novo Código Florestal, que define como áreas de preservação permanente faixas de largura mínima </w:t>
      </w:r>
      <w:r w:rsidR="00BB718E">
        <w:t xml:space="preserve">de </w:t>
      </w:r>
      <w:r>
        <w:t>trinta metros ao longo de cursos d’água.</w:t>
      </w:r>
    </w:p>
    <w:p w:rsidR="00985705" w:rsidRDefault="00845989" w:rsidP="00174CF9">
      <w:pPr>
        <w:pStyle w:val="06-Pargrafodetexto-CLG"/>
        <w:spacing w:after="240"/>
      </w:pPr>
      <w:r>
        <w:t xml:space="preserve">O </w:t>
      </w:r>
      <w:r w:rsidRPr="00963AD9">
        <w:t>Projeto de Lei do Senado (PLS)</w:t>
      </w:r>
      <w:r>
        <w:t xml:space="preserve"> nº 66, de 2014, do Senador Paulo </w:t>
      </w:r>
      <w:r w:rsidRPr="00985705">
        <w:t>B</w:t>
      </w:r>
      <w:r>
        <w:t>auer</w:t>
      </w:r>
      <w:r w:rsidRPr="00985705">
        <w:t>,</w:t>
      </w:r>
      <w:r w:rsidRPr="00845989">
        <w:t xml:space="preserve"> </w:t>
      </w:r>
      <w:r>
        <w:t>substitui a exigência de quinze metros por uma regra</w:t>
      </w:r>
      <w:r w:rsidR="00174CF9">
        <w:t xml:space="preserve"> flexível, segundo a qual poderiam ser estabelecidas </w:t>
      </w:r>
      <w:proofErr w:type="gramStart"/>
      <w:r w:rsidRPr="00C56345">
        <w:t xml:space="preserve">faixas </w:t>
      </w:r>
      <w:r w:rsidR="00174CF9" w:rsidRPr="00C56345">
        <w:t>não</w:t>
      </w:r>
      <w:r w:rsidR="00174CF9">
        <w:t xml:space="preserve"> </w:t>
      </w:r>
      <w:r w:rsidR="00174CF9" w:rsidRPr="00C56345">
        <w:t>edificáveis</w:t>
      </w:r>
      <w:proofErr w:type="gramEnd"/>
      <w:r w:rsidRPr="00C56345">
        <w:t xml:space="preserve"> e limitações à </w:t>
      </w:r>
      <w:proofErr w:type="spellStart"/>
      <w:r w:rsidRPr="00C56345">
        <w:t>edificabilidade</w:t>
      </w:r>
      <w:proofErr w:type="spellEnd"/>
      <w:r w:rsidRPr="00C56345">
        <w:t xml:space="preserve"> necessárias para garantir a segurança, a saúde e o conforto da população e a proteção do meio ambiente e do patrimônio cultural</w:t>
      </w:r>
      <w:r>
        <w:t>, não</w:t>
      </w:r>
      <w:r w:rsidR="00174CF9">
        <w:t xml:space="preserve"> se</w:t>
      </w:r>
      <w:r>
        <w:t xml:space="preserve"> fixa</w:t>
      </w:r>
      <w:r w:rsidR="00174CF9">
        <w:t xml:space="preserve">ndo em lei uma metragem </w:t>
      </w:r>
      <w:r w:rsidRPr="00C56345">
        <w:t>pré-de</w:t>
      </w:r>
      <w:r w:rsidR="00174CF9">
        <w:t>finida</w:t>
      </w:r>
      <w:r w:rsidRPr="00C56345">
        <w:t>.</w:t>
      </w:r>
      <w:r w:rsidR="00174CF9">
        <w:t xml:space="preserve"> Determina, ainda, que</w:t>
      </w:r>
      <w:r w:rsidRPr="00C56345">
        <w:t xml:space="preserve"> </w:t>
      </w:r>
      <w:proofErr w:type="gramStart"/>
      <w:r w:rsidRPr="00C56345">
        <w:t>as faixas não</w:t>
      </w:r>
      <w:r w:rsidR="00174CF9">
        <w:t xml:space="preserve"> </w:t>
      </w:r>
      <w:r w:rsidRPr="00C56345">
        <w:t>edificáveis</w:t>
      </w:r>
      <w:proofErr w:type="gramEnd"/>
      <w:r w:rsidRPr="00C56345">
        <w:t xml:space="preserve"> e limitações à </w:t>
      </w:r>
      <w:proofErr w:type="spellStart"/>
      <w:r w:rsidRPr="00C56345">
        <w:t>edificabilidade</w:t>
      </w:r>
      <w:proofErr w:type="spellEnd"/>
      <w:r w:rsidRPr="00C56345">
        <w:t xml:space="preserve"> incorpor</w:t>
      </w:r>
      <w:r w:rsidR="00174CF9">
        <w:t>em</w:t>
      </w:r>
      <w:r w:rsidRPr="00C56345">
        <w:t xml:space="preserve"> as servidões e restrições </w:t>
      </w:r>
      <w:r>
        <w:t xml:space="preserve">(i) </w:t>
      </w:r>
      <w:r w:rsidRPr="00C56345">
        <w:t xml:space="preserve">vinculadas a infraestruturas de transporte, saneamento, energia e telecomunicações ou </w:t>
      </w:r>
      <w:r>
        <w:t xml:space="preserve">(ii) </w:t>
      </w:r>
      <w:r w:rsidRPr="00C56345">
        <w:t>fixadas em ato administrativo editado no âmbito das políticas de proteção do meio ambiente e do patrimônio cultural.</w:t>
      </w:r>
    </w:p>
    <w:p w:rsidR="00985705" w:rsidRDefault="00B60270" w:rsidP="00985705">
      <w:pPr>
        <w:pStyle w:val="06-Pargrafodetexto-CLG"/>
        <w:spacing w:after="240"/>
      </w:pPr>
      <w:r>
        <w:t xml:space="preserve">O autor </w:t>
      </w:r>
      <w:r w:rsidR="00985705" w:rsidRPr="00C56345">
        <w:t xml:space="preserve">argumenta que não se pode “pretender fixar de antemão as dimensões precisas de cada restrição, pois estas dependem de uma avaliação do território que se pretende urbanizar ou reurbanizar”. Nesse sentido, a reserva de uma faixa de </w:t>
      </w:r>
      <w:r w:rsidR="00985705">
        <w:t>quinze</w:t>
      </w:r>
      <w:r w:rsidR="00985705" w:rsidRPr="00C56345">
        <w:t xml:space="preserve"> metros de cada lado “pode revelar-se insuficiente para alguns casos e excessiva ou mesmo desnecessária para outros”.</w:t>
      </w:r>
      <w:r w:rsidR="00985705">
        <w:t xml:space="preserve"> Dessa forma, o projeto substitui “um critério rígido por um princípio flexível, a ser operacionalizado no contexto de cada projeto de parcelamento do solo”.</w:t>
      </w:r>
    </w:p>
    <w:p w:rsidR="00985705" w:rsidRPr="003311AC" w:rsidRDefault="00167307" w:rsidP="00A85ECB">
      <w:pPr>
        <w:pStyle w:val="06-Pargrafodetexto-CLG"/>
      </w:pPr>
      <w:r>
        <w:t xml:space="preserve">As proposições tramitam em conjunto por força da aprovação do </w:t>
      </w:r>
      <w:r w:rsidRPr="00167307">
        <w:t>Requerimento nº 274, de 2015, do Senador Valdir Raupp</w:t>
      </w:r>
      <w:r>
        <w:t xml:space="preserve">, tendo sido distribuídas às Comissões de </w:t>
      </w:r>
      <w:r w:rsidRPr="00167307">
        <w:t>D</w:t>
      </w:r>
      <w:r>
        <w:t xml:space="preserve">esenvolvimento </w:t>
      </w:r>
      <w:r w:rsidRPr="00167307">
        <w:t>R</w:t>
      </w:r>
      <w:r>
        <w:t>egional e Turismo (CDR)</w:t>
      </w:r>
      <w:r w:rsidRPr="00167307">
        <w:t xml:space="preserve"> e </w:t>
      </w:r>
      <w:r>
        <w:t>de Meio Ambient</w:t>
      </w:r>
      <w:r w:rsidR="00BB718E">
        <w:t>e</w:t>
      </w:r>
      <w:r>
        <w:t xml:space="preserve">, </w:t>
      </w:r>
      <w:r w:rsidRPr="00167307">
        <w:t xml:space="preserve">Defesa do Consumidor e Fiscalização e Controle </w:t>
      </w:r>
      <w:r w:rsidRPr="00167307">
        <w:lastRenderedPageBreak/>
        <w:t>(CMA</w:t>
      </w:r>
      <w:r>
        <w:t>)</w:t>
      </w:r>
      <w:r w:rsidRPr="00167307">
        <w:t xml:space="preserve">, cabendo </w:t>
      </w:r>
      <w:proofErr w:type="gramStart"/>
      <w:r w:rsidRPr="00167307">
        <w:t>à</w:t>
      </w:r>
      <w:proofErr w:type="gramEnd"/>
      <w:r w:rsidRPr="00167307">
        <w:t xml:space="preserve"> ultima</w:t>
      </w:r>
      <w:r>
        <w:t xml:space="preserve"> a</w:t>
      </w:r>
      <w:r w:rsidRPr="00167307">
        <w:t xml:space="preserve"> decisão terminativa</w:t>
      </w:r>
      <w:r>
        <w:t>. Não foram apresentadas emendas.</w:t>
      </w:r>
    </w:p>
    <w:p w:rsidR="00A85ECB" w:rsidRPr="005523B9" w:rsidRDefault="00A85ECB" w:rsidP="00A85ECB">
      <w:pPr>
        <w:pStyle w:val="05-Subttulo-CLG"/>
      </w:pPr>
      <w:r w:rsidRPr="005523B9">
        <w:t>II – ANÁLISE</w:t>
      </w:r>
    </w:p>
    <w:p w:rsidR="00B60270" w:rsidRDefault="00B60270" w:rsidP="006A5FDA">
      <w:pPr>
        <w:pStyle w:val="06-Pargrafodetexto-CLG"/>
        <w:spacing w:after="240"/>
      </w:pPr>
      <w:r>
        <w:t xml:space="preserve">Nos termos do art. 104-A do Regimento Interno, cabe à CDR opinar sobre o mérito da proposição. A análise de constitucionalidade, juridicidade e técnica legislativa será feita pela CMA. </w:t>
      </w:r>
    </w:p>
    <w:p w:rsidR="00000536" w:rsidRDefault="00B60270" w:rsidP="006A5FDA">
      <w:pPr>
        <w:pStyle w:val="06-Pargrafodetexto-CLG"/>
        <w:spacing w:after="240"/>
      </w:pPr>
      <w:r>
        <w:t>As proposições em análise evidenciam uma preocupação comum com o necessário afastamento a ser observado entre as edificações e os cursos d’</w:t>
      </w:r>
      <w:r w:rsidR="00C02E59">
        <w:t xml:space="preserve">água, rodovias e ferrovias. Ambas consideram adequada a imposição dessa exigência aos projetos </w:t>
      </w:r>
      <w:r w:rsidR="00000536">
        <w:t xml:space="preserve">de loteamento, mas cada uma adota uma orientação distinta a respeito. Enquanto o PLS nº 408, de 2012, mantém a rigidez da legislação em vigor e amplia largura da faixa, de quinze para trinta metros, o PLS nº 66, de 2014, institui um sistema flexível, em que as exigências são fixadas pelo município conforme a necessidade de cada situação. </w:t>
      </w:r>
    </w:p>
    <w:p w:rsidR="00D16666" w:rsidRDefault="00000536" w:rsidP="006A5FDA">
      <w:pPr>
        <w:pStyle w:val="06-Pargrafodetexto-CLG"/>
        <w:spacing w:after="240"/>
      </w:pPr>
      <w:r>
        <w:t>Entendemos que est</w:t>
      </w:r>
      <w:r w:rsidR="00382C60">
        <w:t>a</w:t>
      </w:r>
      <w:r>
        <w:t xml:space="preserve"> última abordagem é consentânea com a autonomia municipal e responde melhor à ampla </w:t>
      </w:r>
      <w:r w:rsidR="00D16666">
        <w:t xml:space="preserve">variedade de projetos de loteamento com que as prefeituras se defrontam. </w:t>
      </w:r>
      <w:r w:rsidR="00F23F1A">
        <w:t>Uma faixa de trinta metros poderá ser adequada para algumas situações, mas revelar-se-á excessiva ou insuficiente para muitas outras.</w:t>
      </w:r>
    </w:p>
    <w:p w:rsidR="006A5FDA" w:rsidRDefault="00D16666" w:rsidP="006A5FDA">
      <w:pPr>
        <w:pStyle w:val="06-Pargrafodetexto-CLG"/>
        <w:spacing w:after="240"/>
      </w:pPr>
      <w:r>
        <w:t xml:space="preserve">Observe-se, inclusive, que a rigidez do sistema atual já levou à aprovação de uma lei específica a respeito das </w:t>
      </w:r>
      <w:proofErr w:type="spellStart"/>
      <w:r>
        <w:t>dutovias</w:t>
      </w:r>
      <w:proofErr w:type="spellEnd"/>
      <w:r>
        <w:t xml:space="preserve">, em que se optou por um sistema flexível. </w:t>
      </w:r>
      <w:r w:rsidR="006A5FDA" w:rsidRPr="007531AD">
        <w:t xml:space="preserve">Originalmente, </w:t>
      </w:r>
      <w:r w:rsidR="006A5FDA">
        <w:t xml:space="preserve">o </w:t>
      </w:r>
      <w:r w:rsidR="006A5FDA" w:rsidRPr="007531AD">
        <w:t xml:space="preserve">inciso III do art. 4º da Lei nº 6.766, de 1979, estabelecia a reserva de uma faixa </w:t>
      </w:r>
      <w:proofErr w:type="spellStart"/>
      <w:r w:rsidR="006A5FDA" w:rsidRPr="007531AD">
        <w:rPr>
          <w:i/>
        </w:rPr>
        <w:t>non</w:t>
      </w:r>
      <w:proofErr w:type="spellEnd"/>
      <w:r w:rsidR="006A5FDA" w:rsidRPr="007531AD">
        <w:rPr>
          <w:i/>
        </w:rPr>
        <w:t xml:space="preserve"> </w:t>
      </w:r>
      <w:proofErr w:type="spellStart"/>
      <w:r w:rsidR="006A5FDA" w:rsidRPr="007531AD">
        <w:rPr>
          <w:i/>
        </w:rPr>
        <w:t>aedificandi</w:t>
      </w:r>
      <w:proofErr w:type="spellEnd"/>
      <w:r w:rsidR="006A5FDA" w:rsidRPr="007531AD">
        <w:t xml:space="preserve"> de quinze metros de cada lado ao longo das águas correntes e dormentes e das faixas de domínio público das rodovias, ferrovias e dutos.</w:t>
      </w:r>
      <w:r w:rsidR="006A5FDA">
        <w:t xml:space="preserve"> </w:t>
      </w:r>
      <w:r w:rsidR="006A5FDA" w:rsidRPr="007531AD">
        <w:t xml:space="preserve">Mais tarde, percebeu-se que essa exigência tornaria inviável a instalação de oleodutos e gasodutos de interesse público. </w:t>
      </w:r>
      <w:r>
        <w:t>A</w:t>
      </w:r>
      <w:r w:rsidR="006A5FDA">
        <w:t xml:space="preserve"> grande incidência de ocupações irregulares do solo urbano, inclusive em faixas não</w:t>
      </w:r>
      <w:r>
        <w:t xml:space="preserve"> </w:t>
      </w:r>
      <w:r w:rsidR="006A5FDA">
        <w:t xml:space="preserve">edificáveis adjacentes a </w:t>
      </w:r>
      <w:proofErr w:type="spellStart"/>
      <w:r w:rsidR="006A5FDA">
        <w:t>dutovias</w:t>
      </w:r>
      <w:proofErr w:type="spellEnd"/>
      <w:r w:rsidR="006A5FDA">
        <w:t xml:space="preserve">, levaria à </w:t>
      </w:r>
      <w:r w:rsidR="006A5FDA" w:rsidRPr="00D26637">
        <w:t>remo</w:t>
      </w:r>
      <w:r w:rsidR="006A5FDA" w:rsidRPr="00D26637">
        <w:rPr>
          <w:rFonts w:hint="eastAsia"/>
        </w:rPr>
        <w:t>çã</w:t>
      </w:r>
      <w:r w:rsidR="006A5FDA" w:rsidRPr="00D26637">
        <w:t xml:space="preserve">o indiscriminada dos moradores dessas </w:t>
      </w:r>
      <w:r w:rsidR="006A5FDA" w:rsidRPr="00D26637">
        <w:rPr>
          <w:rFonts w:hint="eastAsia"/>
        </w:rPr>
        <w:t>á</w:t>
      </w:r>
      <w:r w:rsidR="006A5FDA" w:rsidRPr="00D26637">
        <w:t>reas ou ensejaria a paralisa</w:t>
      </w:r>
      <w:r w:rsidR="006A5FDA" w:rsidRPr="00D26637">
        <w:rPr>
          <w:rFonts w:hint="eastAsia"/>
        </w:rPr>
        <w:t>çã</w:t>
      </w:r>
      <w:r w:rsidR="006A5FDA" w:rsidRPr="00D26637">
        <w:t>o de importantes sistemas de abastecimento de g</w:t>
      </w:r>
      <w:r w:rsidR="006A5FDA" w:rsidRPr="00D26637">
        <w:rPr>
          <w:rFonts w:hint="eastAsia"/>
        </w:rPr>
        <w:t>á</w:t>
      </w:r>
      <w:r w:rsidR="006A5FDA" w:rsidRPr="00D26637">
        <w:t xml:space="preserve">s natural, </w:t>
      </w:r>
      <w:r w:rsidR="006A5FDA" w:rsidRPr="00D26637">
        <w:rPr>
          <w:rFonts w:hint="eastAsia"/>
        </w:rPr>
        <w:t>á</w:t>
      </w:r>
      <w:r w:rsidR="006A5FDA" w:rsidRPr="00D26637">
        <w:t>lcool e petr</w:t>
      </w:r>
      <w:r w:rsidR="006A5FDA" w:rsidRPr="00D26637">
        <w:rPr>
          <w:rFonts w:hint="eastAsia"/>
        </w:rPr>
        <w:t>ó</w:t>
      </w:r>
      <w:r w:rsidR="006A5FDA" w:rsidRPr="00D26637">
        <w:t>leo e seus derivados l</w:t>
      </w:r>
      <w:r w:rsidR="006A5FDA" w:rsidRPr="00D26637">
        <w:rPr>
          <w:rFonts w:hint="eastAsia"/>
        </w:rPr>
        <w:t>í</w:t>
      </w:r>
      <w:r w:rsidR="006A5FDA" w:rsidRPr="00D26637">
        <w:t>quidos</w:t>
      </w:r>
      <w:r w:rsidR="006A5FDA">
        <w:t xml:space="preserve">. </w:t>
      </w:r>
      <w:r>
        <w:t>Avaliou-se que n</w:t>
      </w:r>
      <w:r w:rsidR="006A5FDA">
        <w:t xml:space="preserve">ão seria necessário fixar um limite uniforme e pré-determinado de quinze metros e </w:t>
      </w:r>
      <w:r w:rsidR="006A5FDA" w:rsidRPr="00D26637">
        <w:t>os mecanismos de gest</w:t>
      </w:r>
      <w:r w:rsidR="006A5FDA" w:rsidRPr="00D26637">
        <w:rPr>
          <w:rFonts w:hint="eastAsia"/>
        </w:rPr>
        <w:t>ã</w:t>
      </w:r>
      <w:r w:rsidR="006A5FDA" w:rsidRPr="00D26637">
        <w:t xml:space="preserve">o ambiental já seriam suficientes para </w:t>
      </w:r>
      <w:r w:rsidR="006A5FDA" w:rsidRPr="00D26637">
        <w:lastRenderedPageBreak/>
        <w:t>definir procedimentos de licenciamento e opera</w:t>
      </w:r>
      <w:r w:rsidR="006A5FDA" w:rsidRPr="00D26637">
        <w:rPr>
          <w:rFonts w:hint="eastAsia"/>
        </w:rPr>
        <w:t>çã</w:t>
      </w:r>
      <w:r w:rsidR="006A5FDA" w:rsidRPr="00D26637">
        <w:t>o capazes de garantir a seguran</w:t>
      </w:r>
      <w:r w:rsidR="006A5FDA" w:rsidRPr="00D26637">
        <w:rPr>
          <w:rFonts w:hint="eastAsia"/>
        </w:rPr>
        <w:t>ç</w:t>
      </w:r>
      <w:r w:rsidR="006A5FDA" w:rsidRPr="00D26637">
        <w:t>a da popula</w:t>
      </w:r>
      <w:r w:rsidR="006A5FDA" w:rsidRPr="00D26637">
        <w:rPr>
          <w:rFonts w:hint="eastAsia"/>
        </w:rPr>
        <w:t>çã</w:t>
      </w:r>
      <w:r w:rsidR="006A5FDA" w:rsidRPr="00D26637">
        <w:t>o e a preserva</w:t>
      </w:r>
      <w:r w:rsidR="006A5FDA" w:rsidRPr="00D26637">
        <w:rPr>
          <w:rFonts w:hint="eastAsia"/>
        </w:rPr>
        <w:t>çã</w:t>
      </w:r>
      <w:r w:rsidR="006A5FDA" w:rsidRPr="00D26637">
        <w:t>o do meio ambiente.</w:t>
      </w:r>
    </w:p>
    <w:p w:rsidR="006A5FDA" w:rsidRPr="007531AD" w:rsidRDefault="00D16666" w:rsidP="00EB7B18">
      <w:pPr>
        <w:pStyle w:val="06-Pargrafodetexto-CLG"/>
        <w:spacing w:after="240"/>
      </w:pPr>
      <w:r>
        <w:t>Com base nesse entendimento</w:t>
      </w:r>
      <w:r w:rsidR="006A5FDA" w:rsidRPr="007531AD">
        <w:t xml:space="preserve">, a Lei nº 10.932, de </w:t>
      </w:r>
      <w:proofErr w:type="gramStart"/>
      <w:r w:rsidR="006A5FDA" w:rsidRPr="007531AD">
        <w:t>3</w:t>
      </w:r>
      <w:proofErr w:type="gramEnd"/>
      <w:r w:rsidR="006A5FDA" w:rsidRPr="007531AD">
        <w:t xml:space="preserve"> de agosto de 2004, alterou o inciso III do art. 4º da Lei nº 6.766, de 1979, para suprimir</w:t>
      </w:r>
      <w:r w:rsidR="006A5FDA">
        <w:t xml:space="preserve"> os dutos </w:t>
      </w:r>
      <w:r w:rsidR="006A5FDA" w:rsidRPr="007531AD">
        <w:t xml:space="preserve">das faixas de domínio público </w:t>
      </w:r>
      <w:r w:rsidR="006A5FDA">
        <w:t>listadas nessa última</w:t>
      </w:r>
      <w:r w:rsidR="00B555FF">
        <w:t xml:space="preserve"> e acrescentou um parágrafo específico para tratar desses casos</w:t>
      </w:r>
      <w:r w:rsidR="006A5FDA" w:rsidRPr="007531AD">
        <w:t xml:space="preserve">. </w:t>
      </w:r>
      <w:r w:rsidR="006A5FDA">
        <w:t>Passou-se a prever</w:t>
      </w:r>
      <w:r w:rsidR="006A5FDA" w:rsidRPr="007531AD">
        <w:t xml:space="preserve"> que a faixa não</w:t>
      </w:r>
      <w:r>
        <w:t xml:space="preserve"> </w:t>
      </w:r>
      <w:proofErr w:type="spellStart"/>
      <w:r w:rsidR="006A5FDA" w:rsidRPr="007531AD">
        <w:t>edificável</w:t>
      </w:r>
      <w:proofErr w:type="spellEnd"/>
      <w:r w:rsidR="006A5FDA" w:rsidRPr="007531AD">
        <w:t xml:space="preserve"> vinculada a </w:t>
      </w:r>
      <w:proofErr w:type="spellStart"/>
      <w:r w:rsidR="006A5FDA" w:rsidRPr="007531AD">
        <w:t>dutovias</w:t>
      </w:r>
      <w:proofErr w:type="spellEnd"/>
      <w:r w:rsidR="006A5FDA" w:rsidRPr="007531AD">
        <w:t xml:space="preserve"> seria exigida no âmbito do respectivo licenciamento ambiental. Dessa forma, o novo marco legal preservou a segurança da população e a proteção </w:t>
      </w:r>
      <w:r w:rsidR="006A5FDA">
        <w:t>ao</w:t>
      </w:r>
      <w:r w:rsidR="006A5FDA" w:rsidRPr="007531AD">
        <w:t xml:space="preserve"> meio ambiente ao mesmo </w:t>
      </w:r>
      <w:r w:rsidR="006A5FDA">
        <w:t xml:space="preserve">tempo </w:t>
      </w:r>
      <w:r w:rsidR="006A5FDA" w:rsidRPr="007531AD">
        <w:t>em que permitiu que a faixa não</w:t>
      </w:r>
      <w:r>
        <w:t xml:space="preserve"> </w:t>
      </w:r>
      <w:proofErr w:type="spellStart"/>
      <w:r w:rsidR="006A5FDA" w:rsidRPr="007531AD">
        <w:t>edificável</w:t>
      </w:r>
      <w:proofErr w:type="spellEnd"/>
      <w:r w:rsidR="006A5FDA" w:rsidRPr="007531AD">
        <w:t xml:space="preserve"> fosse ajustada às peculiaridades de cada </w:t>
      </w:r>
      <w:proofErr w:type="spellStart"/>
      <w:r w:rsidR="006A5FDA">
        <w:t>dutovia</w:t>
      </w:r>
      <w:proofErr w:type="spellEnd"/>
      <w:r w:rsidR="006A5FDA" w:rsidRPr="007531AD">
        <w:t>.</w:t>
      </w:r>
    </w:p>
    <w:p w:rsidR="006A5FDA" w:rsidRDefault="006A5FDA" w:rsidP="006A5FDA">
      <w:pPr>
        <w:pStyle w:val="06-Pargrafodetexto-CLG"/>
        <w:spacing w:after="240"/>
      </w:pPr>
      <w:r w:rsidRPr="00A11394">
        <w:t>O PLS nº 66, de 2014, estende esse modelo ao</w:t>
      </w:r>
      <w:r w:rsidR="00D16666">
        <w:t>s demais</w:t>
      </w:r>
      <w:r w:rsidRPr="00A11394">
        <w:t xml:space="preserve"> itens citados no inciso </w:t>
      </w:r>
      <w:r w:rsidR="00F23F1A">
        <w:t>em comento, quais seja</w:t>
      </w:r>
      <w:r w:rsidR="00EB7B18">
        <w:t>m</w:t>
      </w:r>
      <w:r w:rsidR="00F23F1A">
        <w:t>, as</w:t>
      </w:r>
      <w:r w:rsidRPr="00A11394">
        <w:t xml:space="preserve"> águas correntes e dormentes e a faixas de domínio público das rodovias e ferrovias.</w:t>
      </w:r>
      <w:r>
        <w:t xml:space="preserve"> Com efeito, em algumas circunstâncias, </w:t>
      </w:r>
      <w:r w:rsidRPr="00A11394">
        <w:t xml:space="preserve">essa faixa pode ser menor </w:t>
      </w:r>
      <w:r>
        <w:t xml:space="preserve">do que quinze metros </w:t>
      </w:r>
      <w:r w:rsidRPr="00A11394">
        <w:t>sem prejuízo da segurança da população e da proteção ao meio ambiente</w:t>
      </w:r>
      <w:r>
        <w:t>. Em outras, pode ser necessário restringir as edificações em uma faixa ainda mais larga do que quinze metros.</w:t>
      </w:r>
    </w:p>
    <w:p w:rsidR="006A5FDA" w:rsidRDefault="006A5FDA" w:rsidP="006A5FDA">
      <w:pPr>
        <w:pStyle w:val="06-Pargrafodetexto-CLG"/>
        <w:spacing w:after="240"/>
      </w:pPr>
      <w:r w:rsidRPr="009D214F">
        <w:t>Há casos, ainda, em que</w:t>
      </w:r>
      <w:r>
        <w:t xml:space="preserve">, paralelamente ao estabelecimento de uma faixa na qual não se pode construir, </w:t>
      </w:r>
      <w:r w:rsidRPr="009D214F">
        <w:t>pode ser preciso l</w:t>
      </w:r>
      <w:r>
        <w:t>imitar a altura das edificações</w:t>
      </w:r>
      <w:r w:rsidRPr="009D214F">
        <w:t>.</w:t>
      </w:r>
      <w:r>
        <w:t xml:space="preserve"> Por essa razão, o PLS nº 66, de 2014, </w:t>
      </w:r>
      <w:r w:rsidR="00D16666">
        <w:t xml:space="preserve">autoriza o estabelecimento, </w:t>
      </w:r>
      <w:r>
        <w:t xml:space="preserve">em conjunto </w:t>
      </w:r>
      <w:r w:rsidRPr="0037777E">
        <w:t>com as faixas não</w:t>
      </w:r>
      <w:r w:rsidR="00D16666">
        <w:t xml:space="preserve"> </w:t>
      </w:r>
      <w:r w:rsidRPr="0037777E">
        <w:t>edificáveis</w:t>
      </w:r>
      <w:r>
        <w:rPr>
          <w:i/>
        </w:rPr>
        <w:t xml:space="preserve">, </w:t>
      </w:r>
      <w:r w:rsidR="00D16666">
        <w:t xml:space="preserve">de </w:t>
      </w:r>
      <w:r w:rsidRPr="00C56345">
        <w:t xml:space="preserve">limitações à </w:t>
      </w:r>
      <w:proofErr w:type="spellStart"/>
      <w:r w:rsidRPr="00C56345">
        <w:t>edificabilidade</w:t>
      </w:r>
      <w:proofErr w:type="spellEnd"/>
      <w:r>
        <w:t>. Em alguns casos, pode-se facultar a edificação desde que respeitado certo limite de altura, como ocorre nas proximidades dos aeródromos.</w:t>
      </w:r>
    </w:p>
    <w:p w:rsidR="00F23F1A" w:rsidRDefault="006A5FDA" w:rsidP="006A5FDA">
      <w:pPr>
        <w:pStyle w:val="06-Pargrafodetexto-CLG"/>
        <w:spacing w:after="240"/>
      </w:pPr>
      <w:r w:rsidRPr="00A11394">
        <w:t>Para garantir a preservação da segurança da população e a proteção ao meio ambiente, o PLS nº 66, de 2014, altera também o parágrafo 3º do art. 4</w:t>
      </w:r>
      <w:r w:rsidR="0085266E">
        <w:t>º</w:t>
      </w:r>
      <w:r w:rsidRPr="00A11394">
        <w:t xml:space="preserve"> da Lei nº 6.766, de 1979, para </w:t>
      </w:r>
      <w:r w:rsidR="00F23F1A">
        <w:t>determinar</w:t>
      </w:r>
      <w:r w:rsidRPr="00A11394">
        <w:t xml:space="preserve"> que as faixa</w:t>
      </w:r>
      <w:r w:rsidR="00F23F1A">
        <w:t xml:space="preserve">s não </w:t>
      </w:r>
      <w:proofErr w:type="gramStart"/>
      <w:r w:rsidRPr="00A11394">
        <w:t>edificáveis</w:t>
      </w:r>
      <w:proofErr w:type="gramEnd"/>
      <w:r w:rsidRPr="00A11394">
        <w:t xml:space="preserve"> e limitações incorpor</w:t>
      </w:r>
      <w:r w:rsidR="00F23F1A">
        <w:t>em</w:t>
      </w:r>
      <w:r w:rsidRPr="00A11394">
        <w:t xml:space="preserve"> as servidões e restrições vinculadas a infraestruturas de transporte, saneamento, energia e telecomunicações; ou fixadas em ato administrativo editado no âmbito das políticas de proteção do meio ambiente e do patrimônio cultural.</w:t>
      </w:r>
      <w:r>
        <w:t xml:space="preserve"> </w:t>
      </w:r>
    </w:p>
    <w:p w:rsidR="0085266E" w:rsidRDefault="006A5FDA" w:rsidP="0085266E">
      <w:pPr>
        <w:pStyle w:val="06-Pargrafodetexto-CLG"/>
        <w:spacing w:after="240"/>
      </w:pPr>
      <w:r>
        <w:t xml:space="preserve">Dessa forma, ao reconhecer a necessidade de se tratar desigualmente situações desiguais, o PLS nº </w:t>
      </w:r>
      <w:r w:rsidRPr="00A11394">
        <w:t xml:space="preserve">66, de </w:t>
      </w:r>
      <w:r w:rsidR="00F23F1A">
        <w:t>2014</w:t>
      </w:r>
      <w:r>
        <w:t xml:space="preserve">, não transige com a exposição da população e do meio ambiente a riscos, uma vez que a </w:t>
      </w:r>
      <w:r>
        <w:lastRenderedPageBreak/>
        <w:t>definição dos limites a serem observados advirá de análises criteriosas de cada caso específico.</w:t>
      </w:r>
    </w:p>
    <w:p w:rsidR="002554CE" w:rsidRDefault="002554CE" w:rsidP="0085266E">
      <w:pPr>
        <w:pStyle w:val="06-Pargrafodetexto-CLG"/>
        <w:spacing w:after="240"/>
      </w:pPr>
    </w:p>
    <w:p w:rsidR="00A85ECB" w:rsidRDefault="00A85ECB" w:rsidP="00A85ECB">
      <w:pPr>
        <w:pStyle w:val="05-Subttulo-CLG"/>
      </w:pPr>
      <w:r>
        <w:t>III – VOTO</w:t>
      </w:r>
    </w:p>
    <w:p w:rsidR="00A85ECB" w:rsidRPr="00433B79" w:rsidRDefault="006A5FDA" w:rsidP="00A85ECB">
      <w:pPr>
        <w:pStyle w:val="06-Pargrafodetexto-CLG"/>
      </w:pPr>
      <w:r>
        <w:t xml:space="preserve">Ante o exposto, voto pela </w:t>
      </w:r>
      <w:r w:rsidRPr="006A5FDA">
        <w:rPr>
          <w:b/>
        </w:rPr>
        <w:t>aprovação</w:t>
      </w:r>
      <w:r>
        <w:t xml:space="preserve"> do PLS nº 66, de 2014, e pela </w:t>
      </w:r>
      <w:r w:rsidRPr="006A5FDA">
        <w:rPr>
          <w:b/>
        </w:rPr>
        <w:t>rejeição</w:t>
      </w:r>
      <w:r>
        <w:t xml:space="preserve"> do PLS nº 408, de 2012.</w:t>
      </w:r>
    </w:p>
    <w:p w:rsidR="00A85ECB" w:rsidRDefault="00C218D0" w:rsidP="00A85ECB">
      <w:pPr>
        <w:pStyle w:val="10-Local-CLG"/>
      </w:pPr>
      <w:r>
        <w:t>Sala da Comissão,</w:t>
      </w:r>
      <w:r w:rsidR="001D0009">
        <w:t xml:space="preserve">          </w:t>
      </w:r>
      <w:proofErr w:type="gramStart"/>
      <w:r w:rsidR="001D0009">
        <w:t xml:space="preserve">de                         </w:t>
      </w:r>
      <w:proofErr w:type="spellStart"/>
      <w:r w:rsidR="001D0009">
        <w:t>de</w:t>
      </w:r>
      <w:proofErr w:type="spellEnd"/>
      <w:proofErr w:type="gramEnd"/>
      <w:r w:rsidR="001D0009">
        <w:t xml:space="preserve"> 2015.</w:t>
      </w:r>
    </w:p>
    <w:p w:rsidR="00A85ECB" w:rsidRPr="00724990" w:rsidRDefault="00A85ECB" w:rsidP="00A85ECB">
      <w:pPr>
        <w:pStyle w:val="11-Assinaturas-CLG"/>
      </w:pPr>
      <w:r>
        <w:t>, Presidente</w:t>
      </w:r>
    </w:p>
    <w:p w:rsidR="00A85ECB" w:rsidRDefault="00A85ECB" w:rsidP="00A85ECB">
      <w:pPr>
        <w:pStyle w:val="11-Assinaturas-CLG"/>
      </w:pPr>
      <w:r>
        <w:t>, Relator</w:t>
      </w:r>
    </w:p>
    <w:sectPr w:rsidR="00A85ECB" w:rsidSect="001D0009">
      <w:headerReference w:type="even" r:id="rId6"/>
      <w:headerReference w:type="default" r:id="rId7"/>
      <w:footerReference w:type="default" r:id="rId8"/>
      <w:headerReference w:type="first" r:id="rId9"/>
      <w:footerReference w:type="first" r:id="rId10"/>
      <w:pgSz w:w="11906" w:h="16838"/>
      <w:pgMar w:top="1985" w:right="1701"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FD5" w:rsidRDefault="00DB0FD5" w:rsidP="00A85ECB">
      <w:pPr>
        <w:spacing w:after="0" w:line="240" w:lineRule="auto"/>
      </w:pPr>
      <w:r>
        <w:separator/>
      </w:r>
    </w:p>
  </w:endnote>
  <w:endnote w:type="continuationSeparator" w:id="0">
    <w:p w:rsidR="00DB0FD5" w:rsidRDefault="00DB0FD5" w:rsidP="00A85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D5" w:rsidRDefault="005C0FDC">
    <w:pPr>
      <w:pStyle w:val="Rodap"/>
      <w:rPr>
        <w:i/>
        <w:sz w:val="18"/>
      </w:rPr>
    </w:pPr>
    <w:proofErr w:type="gramStart"/>
    <w:r w:rsidRPr="005C0FDC">
      <w:rPr>
        <w:i/>
        <w:sz w:val="18"/>
        <w:szCs w:val="18"/>
      </w:rPr>
      <w:t>vc2015</w:t>
    </w:r>
    <w:proofErr w:type="gramEnd"/>
    <w:r w:rsidRPr="005C0FDC">
      <w:rPr>
        <w:i/>
        <w:sz w:val="18"/>
        <w:szCs w:val="18"/>
      </w:rPr>
      <w:t>-04818</w:t>
    </w:r>
    <w:r w:rsidR="00385A9D">
      <w:rPr>
        <w:i/>
        <w:sz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D5" w:rsidRPr="00342E7D" w:rsidRDefault="00385A9D">
    <w:pPr>
      <w:pStyle w:val="Rodap"/>
      <w:rPr>
        <w:i/>
        <w:sz w:val="18"/>
        <w:szCs w:val="18"/>
      </w:rPr>
    </w:pPr>
    <w:r w:rsidRPr="00342E7D">
      <w:rPr>
        <w:i/>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FD5" w:rsidRDefault="00DB0FD5" w:rsidP="00A85ECB">
      <w:pPr>
        <w:spacing w:after="0" w:line="240" w:lineRule="auto"/>
      </w:pPr>
      <w:r>
        <w:separator/>
      </w:r>
    </w:p>
  </w:footnote>
  <w:footnote w:type="continuationSeparator" w:id="0">
    <w:p w:rsidR="00DB0FD5" w:rsidRDefault="00DB0FD5" w:rsidP="00A85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D5" w:rsidRDefault="004B0E6F" w:rsidP="00A85ECB">
    <w:pPr>
      <w:pStyle w:val="Cabealho"/>
      <w:framePr w:wrap="around" w:vAnchor="text" w:hAnchor="margin" w:xAlign="right" w:y="1"/>
      <w:rPr>
        <w:rStyle w:val="Nmerodepgina"/>
      </w:rPr>
    </w:pPr>
    <w:r>
      <w:rPr>
        <w:rStyle w:val="Nmerodepgina"/>
      </w:rPr>
      <w:fldChar w:fldCharType="begin"/>
    </w:r>
    <w:r w:rsidR="0003485E">
      <w:rPr>
        <w:rStyle w:val="Nmerodepgina"/>
      </w:rPr>
      <w:instrText xml:space="preserve">PAGE  </w:instrText>
    </w:r>
    <w:r>
      <w:rPr>
        <w:rStyle w:val="Nmerodepgina"/>
      </w:rPr>
      <w:fldChar w:fldCharType="end"/>
    </w:r>
  </w:p>
  <w:p w:rsidR="00DB0FD5" w:rsidRDefault="00DB0FD5">
    <w:pPr>
      <w:pStyle w:val="Cabealho"/>
      <w:ind w:right="360"/>
    </w:pPr>
  </w:p>
  <w:p w:rsidR="00DB0FD5" w:rsidRDefault="00DB0FD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D5" w:rsidRDefault="004B0E6F" w:rsidP="00A85ECB">
    <w:pPr>
      <w:pStyle w:val="Cabealho"/>
      <w:framePr w:wrap="around" w:vAnchor="text" w:hAnchor="margin" w:xAlign="right" w:y="1"/>
      <w:rPr>
        <w:rStyle w:val="Nmerodepgina"/>
      </w:rPr>
    </w:pPr>
    <w:r>
      <w:rPr>
        <w:rStyle w:val="Nmerodepgina"/>
      </w:rPr>
      <w:fldChar w:fldCharType="begin"/>
    </w:r>
    <w:r w:rsidR="0003485E">
      <w:rPr>
        <w:rStyle w:val="Nmerodepgina"/>
      </w:rPr>
      <w:instrText xml:space="preserve">PAGE  </w:instrText>
    </w:r>
    <w:r>
      <w:rPr>
        <w:rStyle w:val="Nmerodepgina"/>
      </w:rPr>
      <w:fldChar w:fldCharType="separate"/>
    </w:r>
    <w:r w:rsidR="002554CE">
      <w:rPr>
        <w:rStyle w:val="Nmerodepgina"/>
        <w:noProof/>
      </w:rPr>
      <w:t>2</w:t>
    </w:r>
    <w:r>
      <w:rPr>
        <w:rStyle w:val="Nmerodepgina"/>
      </w:rPr>
      <w:fldChar w:fldCharType="end"/>
    </w:r>
  </w:p>
  <w:tbl>
    <w:tblPr>
      <w:tblW w:w="0" w:type="auto"/>
      <w:tblLayout w:type="fixed"/>
      <w:tblCellMar>
        <w:left w:w="70" w:type="dxa"/>
        <w:right w:w="70" w:type="dxa"/>
      </w:tblCellMar>
      <w:tblLook w:val="0000"/>
    </w:tblPr>
    <w:tblGrid>
      <w:gridCol w:w="921"/>
      <w:gridCol w:w="7532"/>
    </w:tblGrid>
    <w:tr w:rsidR="002554CE" w:rsidTr="00666F7C">
      <w:trPr>
        <w:cantSplit/>
      </w:trPr>
      <w:tc>
        <w:tcPr>
          <w:tcW w:w="921" w:type="dxa"/>
          <w:vMerge w:val="restart"/>
        </w:tcPr>
        <w:p w:rsidR="002554CE" w:rsidRDefault="002554CE" w:rsidP="00666F7C">
          <w:pPr>
            <w:jc w:val="center"/>
            <w:rPr>
              <w:sz w:val="24"/>
            </w:rPr>
          </w:pPr>
          <w:r w:rsidRPr="00CC41AB">
            <w:rPr>
              <w:sz w:val="24"/>
            </w:rPr>
            <w:object w:dxaOrig="123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45.75pt" o:ole="">
                <v:imagedata r:id="rId1" o:title=""/>
              </v:shape>
              <o:OLEObject Type="Embed" ProgID="PBrush" ShapeID="_x0000_i1027" DrawAspect="Content" ObjectID="_1495437788" r:id="rId2"/>
            </w:object>
          </w:r>
        </w:p>
      </w:tc>
      <w:tc>
        <w:tcPr>
          <w:tcW w:w="7532" w:type="dxa"/>
        </w:tcPr>
        <w:p w:rsidR="002554CE" w:rsidRDefault="002554CE" w:rsidP="00666F7C">
          <w:pPr>
            <w:pStyle w:val="Ttulo1"/>
            <w:jc w:val="both"/>
            <w:rPr>
              <w:sz w:val="24"/>
            </w:rPr>
          </w:pPr>
        </w:p>
        <w:p w:rsidR="002554CE" w:rsidRDefault="002554CE" w:rsidP="00666F7C">
          <w:pPr>
            <w:pStyle w:val="Ttulo1"/>
            <w:jc w:val="both"/>
            <w:rPr>
              <w:sz w:val="24"/>
            </w:rPr>
          </w:pPr>
          <w:r>
            <w:rPr>
              <w:sz w:val="24"/>
            </w:rPr>
            <w:t>SENADO FEDERAL</w:t>
          </w:r>
        </w:p>
      </w:tc>
    </w:tr>
    <w:tr w:rsidR="002554CE" w:rsidRPr="00F62FC2" w:rsidTr="00666F7C">
      <w:trPr>
        <w:cantSplit/>
      </w:trPr>
      <w:tc>
        <w:tcPr>
          <w:tcW w:w="921" w:type="dxa"/>
          <w:vMerge/>
        </w:tcPr>
        <w:p w:rsidR="002554CE" w:rsidRDefault="002554CE" w:rsidP="00666F7C">
          <w:pPr>
            <w:jc w:val="center"/>
            <w:rPr>
              <w:sz w:val="24"/>
            </w:rPr>
          </w:pPr>
        </w:p>
      </w:tc>
      <w:tc>
        <w:tcPr>
          <w:tcW w:w="7532" w:type="dxa"/>
        </w:tcPr>
        <w:p w:rsidR="002554CE" w:rsidRPr="00F62FC2" w:rsidRDefault="002554CE" w:rsidP="00666F7C">
          <w:pPr>
            <w:pStyle w:val="Ttulo2"/>
            <w:jc w:val="both"/>
          </w:pPr>
          <w:r w:rsidRPr="00B76F85">
            <w:rPr>
              <w:sz w:val="26"/>
              <w:szCs w:val="26"/>
            </w:rPr>
            <w:t>Gabinete do Senador JOSÉ PIMENTEL</w:t>
          </w:r>
        </w:p>
      </w:tc>
    </w:tr>
  </w:tbl>
  <w:p w:rsidR="00DB0FD5" w:rsidRDefault="00DB0FD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21"/>
      <w:gridCol w:w="7532"/>
    </w:tblGrid>
    <w:tr w:rsidR="009F3680" w:rsidTr="00666F7C">
      <w:trPr>
        <w:cantSplit/>
      </w:trPr>
      <w:tc>
        <w:tcPr>
          <w:tcW w:w="921" w:type="dxa"/>
          <w:vMerge w:val="restart"/>
        </w:tcPr>
        <w:p w:rsidR="009F3680" w:rsidRDefault="009F3680" w:rsidP="00666F7C">
          <w:pPr>
            <w:jc w:val="center"/>
            <w:rPr>
              <w:sz w:val="24"/>
            </w:rPr>
          </w:pPr>
          <w:r w:rsidRPr="00CC41AB">
            <w:rPr>
              <w:sz w:val="24"/>
            </w:rPr>
            <w:object w:dxaOrig="123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75pt" o:ole="">
                <v:imagedata r:id="rId1" o:title=""/>
              </v:shape>
              <o:OLEObject Type="Embed" ProgID="PBrush" ShapeID="_x0000_i1025" DrawAspect="Content" ObjectID="_1495437789" r:id="rId2"/>
            </w:object>
          </w:r>
        </w:p>
      </w:tc>
      <w:tc>
        <w:tcPr>
          <w:tcW w:w="7532" w:type="dxa"/>
        </w:tcPr>
        <w:p w:rsidR="009F3680" w:rsidRDefault="009F3680" w:rsidP="00666F7C">
          <w:pPr>
            <w:pStyle w:val="Ttulo1"/>
            <w:jc w:val="both"/>
            <w:rPr>
              <w:sz w:val="24"/>
            </w:rPr>
          </w:pPr>
        </w:p>
        <w:p w:rsidR="009F3680" w:rsidRDefault="009F3680" w:rsidP="00666F7C">
          <w:pPr>
            <w:pStyle w:val="Ttulo1"/>
            <w:jc w:val="both"/>
            <w:rPr>
              <w:sz w:val="24"/>
            </w:rPr>
          </w:pPr>
          <w:r>
            <w:rPr>
              <w:sz w:val="24"/>
            </w:rPr>
            <w:t>SENADO FEDERAL</w:t>
          </w:r>
        </w:p>
      </w:tc>
    </w:tr>
    <w:tr w:rsidR="009F3680" w:rsidRPr="00F62FC2" w:rsidTr="00666F7C">
      <w:trPr>
        <w:cantSplit/>
      </w:trPr>
      <w:tc>
        <w:tcPr>
          <w:tcW w:w="921" w:type="dxa"/>
          <w:vMerge/>
        </w:tcPr>
        <w:p w:rsidR="009F3680" w:rsidRDefault="009F3680" w:rsidP="00666F7C">
          <w:pPr>
            <w:jc w:val="center"/>
            <w:rPr>
              <w:sz w:val="24"/>
            </w:rPr>
          </w:pPr>
        </w:p>
      </w:tc>
      <w:tc>
        <w:tcPr>
          <w:tcW w:w="7532" w:type="dxa"/>
        </w:tcPr>
        <w:p w:rsidR="009F3680" w:rsidRPr="00F62FC2" w:rsidRDefault="009F3680" w:rsidP="00666F7C">
          <w:pPr>
            <w:pStyle w:val="Ttulo2"/>
            <w:jc w:val="both"/>
          </w:pPr>
          <w:r w:rsidRPr="00B76F85">
            <w:rPr>
              <w:sz w:val="26"/>
              <w:szCs w:val="26"/>
            </w:rPr>
            <w:t>Gabinete do Senador JOSÉ PIMENTEL</w:t>
          </w:r>
        </w:p>
      </w:tc>
    </w:tr>
  </w:tbl>
  <w:p w:rsidR="009F3680" w:rsidRDefault="009F368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5ECB"/>
    <w:rsid w:val="00000536"/>
    <w:rsid w:val="00030745"/>
    <w:rsid w:val="0003485E"/>
    <w:rsid w:val="00055CBB"/>
    <w:rsid w:val="0007300D"/>
    <w:rsid w:val="001234EB"/>
    <w:rsid w:val="0014058C"/>
    <w:rsid w:val="00167307"/>
    <w:rsid w:val="00174CF9"/>
    <w:rsid w:val="0019646D"/>
    <w:rsid w:val="001D0009"/>
    <w:rsid w:val="001F7438"/>
    <w:rsid w:val="002029DB"/>
    <w:rsid w:val="002554CE"/>
    <w:rsid w:val="002F08FB"/>
    <w:rsid w:val="00382C60"/>
    <w:rsid w:val="00385A9D"/>
    <w:rsid w:val="003B6BA9"/>
    <w:rsid w:val="003C5949"/>
    <w:rsid w:val="003F695A"/>
    <w:rsid w:val="004254A4"/>
    <w:rsid w:val="00462E72"/>
    <w:rsid w:val="0048265E"/>
    <w:rsid w:val="004B0E6F"/>
    <w:rsid w:val="004D4188"/>
    <w:rsid w:val="0050661C"/>
    <w:rsid w:val="005079CB"/>
    <w:rsid w:val="00533116"/>
    <w:rsid w:val="005427DE"/>
    <w:rsid w:val="0055336D"/>
    <w:rsid w:val="0059291D"/>
    <w:rsid w:val="005A209C"/>
    <w:rsid w:val="005B43B6"/>
    <w:rsid w:val="005C0FDC"/>
    <w:rsid w:val="005F66EF"/>
    <w:rsid w:val="00665E1F"/>
    <w:rsid w:val="00666B40"/>
    <w:rsid w:val="006A34C1"/>
    <w:rsid w:val="006A5FDA"/>
    <w:rsid w:val="006B2AD4"/>
    <w:rsid w:val="00786E12"/>
    <w:rsid w:val="00796409"/>
    <w:rsid w:val="007F6C25"/>
    <w:rsid w:val="00800E94"/>
    <w:rsid w:val="00806347"/>
    <w:rsid w:val="00845989"/>
    <w:rsid w:val="0085266E"/>
    <w:rsid w:val="008707F5"/>
    <w:rsid w:val="008D22A3"/>
    <w:rsid w:val="00957CF0"/>
    <w:rsid w:val="00985705"/>
    <w:rsid w:val="009F3680"/>
    <w:rsid w:val="00A070DD"/>
    <w:rsid w:val="00A52905"/>
    <w:rsid w:val="00A85ECB"/>
    <w:rsid w:val="00A95463"/>
    <w:rsid w:val="00B26EDC"/>
    <w:rsid w:val="00B44A19"/>
    <w:rsid w:val="00B5322A"/>
    <w:rsid w:val="00B555FF"/>
    <w:rsid w:val="00B57CDF"/>
    <w:rsid w:val="00B60270"/>
    <w:rsid w:val="00BB718E"/>
    <w:rsid w:val="00C02E59"/>
    <w:rsid w:val="00C218D0"/>
    <w:rsid w:val="00C40EAF"/>
    <w:rsid w:val="00C54477"/>
    <w:rsid w:val="00CF4AAD"/>
    <w:rsid w:val="00D16666"/>
    <w:rsid w:val="00D20B94"/>
    <w:rsid w:val="00DB0FD5"/>
    <w:rsid w:val="00E241F7"/>
    <w:rsid w:val="00E339C7"/>
    <w:rsid w:val="00E55B44"/>
    <w:rsid w:val="00E679B8"/>
    <w:rsid w:val="00EB7B18"/>
    <w:rsid w:val="00EC05B2"/>
    <w:rsid w:val="00EC677D"/>
    <w:rsid w:val="00ED38EE"/>
    <w:rsid w:val="00F238BF"/>
    <w:rsid w:val="00F23F1A"/>
    <w:rsid w:val="00F56077"/>
    <w:rsid w:val="00FA009E"/>
    <w:rsid w:val="00FA22FA"/>
    <w:rsid w:val="00FC0B7D"/>
    <w:rsid w:val="00FE76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8C"/>
    <w:pPr>
      <w:spacing w:after="200" w:line="276" w:lineRule="auto"/>
    </w:pPr>
    <w:rPr>
      <w:sz w:val="22"/>
      <w:szCs w:val="22"/>
      <w:lang w:eastAsia="en-US"/>
    </w:rPr>
  </w:style>
  <w:style w:type="paragraph" w:styleId="Ttulo1">
    <w:name w:val="heading 1"/>
    <w:basedOn w:val="Normal"/>
    <w:next w:val="Normal"/>
    <w:link w:val="Ttulo1Char"/>
    <w:uiPriority w:val="9"/>
    <w:qFormat/>
    <w:rsid w:val="009F3680"/>
    <w:pPr>
      <w:keepNext/>
      <w:spacing w:after="0" w:line="240" w:lineRule="auto"/>
      <w:jc w:val="center"/>
      <w:outlineLvl w:val="0"/>
    </w:pPr>
    <w:rPr>
      <w:rFonts w:ascii="Times New Roman" w:eastAsia="Times New Roman" w:hAnsi="Times New Roman"/>
      <w:b/>
      <w:bCs/>
      <w:sz w:val="32"/>
      <w:szCs w:val="20"/>
      <w:lang w:eastAsia="pt-BR"/>
    </w:rPr>
  </w:style>
  <w:style w:type="paragraph" w:styleId="Ttulo2">
    <w:name w:val="heading 2"/>
    <w:basedOn w:val="Normal"/>
    <w:next w:val="Normal"/>
    <w:link w:val="Ttulo2Char"/>
    <w:uiPriority w:val="9"/>
    <w:qFormat/>
    <w:rsid w:val="009F3680"/>
    <w:pPr>
      <w:keepNext/>
      <w:spacing w:after="0" w:line="240" w:lineRule="auto"/>
      <w:jc w:val="center"/>
      <w:outlineLvl w:val="1"/>
    </w:pPr>
    <w:rPr>
      <w:rFonts w:ascii="Times New Roman" w:eastAsia="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A85ECB"/>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semiHidden/>
    <w:rsid w:val="00A85ECB"/>
    <w:rPr>
      <w:rFonts w:ascii="Times New Roman" w:eastAsia="Times New Roman" w:hAnsi="Times New Roman" w:cs="Times New Roman"/>
      <w:sz w:val="24"/>
      <w:szCs w:val="24"/>
      <w:lang w:eastAsia="pt-BR"/>
    </w:rPr>
  </w:style>
  <w:style w:type="paragraph" w:styleId="Rodap">
    <w:name w:val="footer"/>
    <w:basedOn w:val="Normal"/>
    <w:link w:val="RodapChar"/>
    <w:semiHidden/>
    <w:rsid w:val="00A85ECB"/>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RodapChar">
    <w:name w:val="Rodapé Char"/>
    <w:basedOn w:val="Fontepargpadro"/>
    <w:link w:val="Rodap"/>
    <w:semiHidden/>
    <w:rsid w:val="00A85ECB"/>
    <w:rPr>
      <w:rFonts w:ascii="Times New Roman" w:eastAsia="Times New Roman" w:hAnsi="Times New Roman" w:cs="Times New Roman"/>
      <w:sz w:val="24"/>
      <w:szCs w:val="24"/>
      <w:lang w:eastAsia="pt-BR"/>
    </w:rPr>
  </w:style>
  <w:style w:type="character" w:styleId="Nmerodepgina">
    <w:name w:val="page number"/>
    <w:basedOn w:val="Fontepargpadro"/>
    <w:semiHidden/>
    <w:rsid w:val="00A85ECB"/>
  </w:style>
  <w:style w:type="paragraph" w:customStyle="1" w:styleId="01-Minuta-CLG">
    <w:name w:val="01 - Minuta - CLG"/>
    <w:link w:val="01-Minuta-CLGChar"/>
    <w:rsid w:val="00A85ECB"/>
    <w:pPr>
      <w:spacing w:after="180"/>
      <w:jc w:val="center"/>
    </w:pPr>
    <w:rPr>
      <w:rFonts w:ascii="Times New Roman" w:eastAsia="Times New Roman" w:hAnsi="Times New Roman"/>
      <w:sz w:val="24"/>
    </w:rPr>
  </w:style>
  <w:style w:type="paragraph" w:customStyle="1" w:styleId="02-TtuloPrincipal-CLG">
    <w:name w:val="02 - Título Principal - CLG"/>
    <w:link w:val="02-TtuloPrincipal-CLGChar"/>
    <w:rsid w:val="00A85ECB"/>
    <w:pPr>
      <w:spacing w:after="960"/>
      <w:jc w:val="center"/>
    </w:pPr>
    <w:rPr>
      <w:rFonts w:ascii="Times New Roman" w:eastAsia="Times New Roman" w:hAnsi="Times New Roman"/>
      <w:b/>
      <w:bCs/>
      <w:sz w:val="32"/>
    </w:rPr>
  </w:style>
  <w:style w:type="paragraph" w:customStyle="1" w:styleId="03-Ementa-CLG">
    <w:name w:val="03 - Ementa - CLG"/>
    <w:link w:val="03-Ementa-CLGCharChar"/>
    <w:rsid w:val="00A85ECB"/>
    <w:pPr>
      <w:spacing w:after="960"/>
      <w:ind w:left="3686"/>
      <w:jc w:val="both"/>
    </w:pPr>
    <w:rPr>
      <w:rFonts w:ascii="Times New Roman" w:eastAsia="Arial Unicode MS" w:hAnsi="Times New Roman"/>
      <w:sz w:val="24"/>
      <w:szCs w:val="24"/>
    </w:rPr>
  </w:style>
  <w:style w:type="character" w:customStyle="1" w:styleId="03-Ementa-CLGCharChar">
    <w:name w:val="03 - Ementa - CLG Char Char"/>
    <w:basedOn w:val="Fontepargpadro"/>
    <w:link w:val="03-Ementa-CLG"/>
    <w:rsid w:val="00A85ECB"/>
    <w:rPr>
      <w:rFonts w:ascii="Times New Roman" w:eastAsia="Arial Unicode MS" w:hAnsi="Times New Roman" w:cs="Times New Roman"/>
      <w:sz w:val="24"/>
      <w:szCs w:val="24"/>
      <w:lang w:val="pt-BR" w:eastAsia="pt-BR" w:bidi="ar-SA"/>
    </w:rPr>
  </w:style>
  <w:style w:type="paragraph" w:customStyle="1" w:styleId="04-Relatoria-CLG">
    <w:name w:val="04 - Relatoria - CLG"/>
    <w:link w:val="04-Relatoria-CLGChar"/>
    <w:rsid w:val="00A85ECB"/>
    <w:pPr>
      <w:spacing w:after="960"/>
      <w:ind w:left="1440"/>
    </w:pPr>
    <w:rPr>
      <w:rFonts w:ascii="Times New Roman" w:eastAsia="Times New Roman" w:hAnsi="Times New Roman"/>
      <w:sz w:val="28"/>
    </w:rPr>
  </w:style>
  <w:style w:type="paragraph" w:customStyle="1" w:styleId="05-Subttulo-CLG">
    <w:name w:val="05 - Subtítulo - CLG"/>
    <w:link w:val="05-Subttulo-CLGChar"/>
    <w:rsid w:val="00A85ECB"/>
    <w:pPr>
      <w:spacing w:after="480"/>
      <w:jc w:val="both"/>
    </w:pPr>
    <w:rPr>
      <w:rFonts w:ascii="Times New Roman" w:eastAsia="Times New Roman" w:hAnsi="Times New Roman"/>
      <w:b/>
      <w:bCs/>
      <w:sz w:val="28"/>
    </w:rPr>
  </w:style>
  <w:style w:type="paragraph" w:customStyle="1" w:styleId="06-Pargrafodetexto-CLG">
    <w:name w:val="06 - Parágrafo de texto - CLG"/>
    <w:link w:val="06-Pargrafodetexto-CLGChar"/>
    <w:rsid w:val="00A85ECB"/>
    <w:pPr>
      <w:spacing w:after="360"/>
      <w:ind w:firstLine="1418"/>
      <w:jc w:val="both"/>
    </w:pPr>
    <w:rPr>
      <w:rFonts w:ascii="Times New Roman" w:eastAsia="Times New Roman" w:hAnsi="Times New Roman"/>
      <w:sz w:val="28"/>
    </w:rPr>
  </w:style>
  <w:style w:type="character" w:customStyle="1" w:styleId="01-Minuta-CLGChar">
    <w:name w:val="01 - Minuta - CLG Char"/>
    <w:basedOn w:val="Fontepargpadro"/>
    <w:link w:val="01-Minuta-CLG"/>
    <w:rsid w:val="00A85ECB"/>
    <w:rPr>
      <w:rFonts w:ascii="Times New Roman" w:eastAsia="Times New Roman" w:hAnsi="Times New Roman" w:cs="Times New Roman"/>
      <w:sz w:val="24"/>
      <w:lang w:val="pt-BR" w:eastAsia="pt-BR" w:bidi="ar-SA"/>
    </w:rPr>
  </w:style>
  <w:style w:type="paragraph" w:customStyle="1" w:styleId="10-Local-CLG">
    <w:name w:val="10 - Local - CLG"/>
    <w:link w:val="10-Local-CLGChar"/>
    <w:rsid w:val="00A85ECB"/>
    <w:pPr>
      <w:spacing w:before="960" w:after="720"/>
      <w:ind w:firstLine="2520"/>
      <w:jc w:val="both"/>
    </w:pPr>
    <w:rPr>
      <w:rFonts w:ascii="Times New Roman" w:eastAsia="Times New Roman" w:hAnsi="Times New Roman"/>
      <w:sz w:val="28"/>
    </w:rPr>
  </w:style>
  <w:style w:type="paragraph" w:customStyle="1" w:styleId="11-Assinaturas-CLG">
    <w:name w:val="11 - Assinaturas - CLG"/>
    <w:link w:val="11-Assinaturas-CLGChar"/>
    <w:rsid w:val="00A85ECB"/>
    <w:pPr>
      <w:spacing w:after="960"/>
      <w:ind w:left="6240"/>
      <w:jc w:val="both"/>
    </w:pPr>
    <w:rPr>
      <w:rFonts w:ascii="Times New Roman" w:eastAsia="Times New Roman" w:hAnsi="Times New Roman"/>
      <w:sz w:val="28"/>
    </w:rPr>
  </w:style>
  <w:style w:type="character" w:customStyle="1" w:styleId="02-TtuloPrincipal-CLGChar">
    <w:name w:val="02 - Título Principal - CLG Char"/>
    <w:basedOn w:val="Fontepargpadro"/>
    <w:link w:val="02-TtuloPrincipal-CLG"/>
    <w:rsid w:val="00A85ECB"/>
    <w:rPr>
      <w:rFonts w:ascii="Times New Roman" w:eastAsia="Times New Roman" w:hAnsi="Times New Roman" w:cs="Times New Roman"/>
      <w:b/>
      <w:bCs/>
      <w:sz w:val="32"/>
      <w:lang w:val="pt-BR" w:eastAsia="pt-BR" w:bidi="ar-SA"/>
    </w:rPr>
  </w:style>
  <w:style w:type="character" w:customStyle="1" w:styleId="04-Relatoria-CLGChar">
    <w:name w:val="04 - Relatoria - CLG Char"/>
    <w:basedOn w:val="Fontepargpadro"/>
    <w:link w:val="04-Relatoria-CLG"/>
    <w:rsid w:val="00A85ECB"/>
    <w:rPr>
      <w:rFonts w:ascii="Times New Roman" w:eastAsia="Times New Roman" w:hAnsi="Times New Roman" w:cs="Times New Roman"/>
      <w:sz w:val="28"/>
      <w:lang w:val="pt-BR" w:eastAsia="pt-BR" w:bidi="ar-SA"/>
    </w:rPr>
  </w:style>
  <w:style w:type="character" w:customStyle="1" w:styleId="05-Subttulo-CLGChar">
    <w:name w:val="05 - Subtítulo - CLG Char"/>
    <w:basedOn w:val="Fontepargpadro"/>
    <w:link w:val="05-Subttulo-CLG"/>
    <w:rsid w:val="00A85ECB"/>
    <w:rPr>
      <w:rFonts w:ascii="Times New Roman" w:eastAsia="Times New Roman" w:hAnsi="Times New Roman" w:cs="Times New Roman"/>
      <w:b/>
      <w:bCs/>
      <w:sz w:val="28"/>
      <w:lang w:val="pt-BR" w:eastAsia="pt-BR" w:bidi="ar-SA"/>
    </w:rPr>
  </w:style>
  <w:style w:type="character" w:customStyle="1" w:styleId="06-Pargrafodetexto-CLGChar">
    <w:name w:val="06 - Parágrafo de texto - CLG Char"/>
    <w:basedOn w:val="Fontepargpadro"/>
    <w:link w:val="06-Pargrafodetexto-CLG"/>
    <w:rsid w:val="00A85ECB"/>
    <w:rPr>
      <w:rFonts w:ascii="Times New Roman" w:eastAsia="Times New Roman" w:hAnsi="Times New Roman" w:cs="Times New Roman"/>
      <w:sz w:val="28"/>
      <w:lang w:val="pt-BR" w:eastAsia="pt-BR" w:bidi="ar-SA"/>
    </w:rPr>
  </w:style>
  <w:style w:type="character" w:customStyle="1" w:styleId="10-Local-CLGChar">
    <w:name w:val="10 - Local - CLG Char"/>
    <w:basedOn w:val="Fontepargpadro"/>
    <w:link w:val="10-Local-CLG"/>
    <w:rsid w:val="00A85ECB"/>
    <w:rPr>
      <w:rFonts w:ascii="Times New Roman" w:eastAsia="Times New Roman" w:hAnsi="Times New Roman" w:cs="Times New Roman"/>
      <w:sz w:val="28"/>
      <w:lang w:val="pt-BR" w:eastAsia="pt-BR" w:bidi="ar-SA"/>
    </w:rPr>
  </w:style>
  <w:style w:type="character" w:customStyle="1" w:styleId="11-Assinaturas-CLGChar">
    <w:name w:val="11 - Assinaturas - CLG Char"/>
    <w:basedOn w:val="Fontepargpadro"/>
    <w:link w:val="11-Assinaturas-CLG"/>
    <w:rsid w:val="00A85ECB"/>
    <w:rPr>
      <w:rFonts w:ascii="Times New Roman" w:eastAsia="Times New Roman" w:hAnsi="Times New Roman" w:cs="Times New Roman"/>
      <w:sz w:val="28"/>
      <w:lang w:val="pt-BR" w:eastAsia="pt-BR" w:bidi="ar-SA"/>
    </w:rPr>
  </w:style>
  <w:style w:type="paragraph" w:customStyle="1" w:styleId="07-Citaolegal-CLG">
    <w:name w:val="07 - Citação legal - CLG"/>
    <w:rsid w:val="00A85ECB"/>
    <w:pPr>
      <w:spacing w:after="120"/>
      <w:ind w:left="1985" w:firstLine="567"/>
      <w:jc w:val="both"/>
    </w:pPr>
    <w:rPr>
      <w:rFonts w:ascii="Times New Roman" w:eastAsia="Times New Roman" w:hAnsi="Times New Roman"/>
      <w:bCs/>
      <w:sz w:val="24"/>
    </w:rPr>
  </w:style>
  <w:style w:type="paragraph" w:customStyle="1" w:styleId="08-Citaolegal-ltimalinha-CLG">
    <w:name w:val="08 - Citação legal - última linha - CLG"/>
    <w:rsid w:val="00A85ECB"/>
    <w:pPr>
      <w:spacing w:after="480"/>
      <w:ind w:left="1985" w:firstLine="567"/>
      <w:jc w:val="both"/>
    </w:pPr>
    <w:rPr>
      <w:rFonts w:ascii="Times New Roman" w:eastAsia="Times New Roman" w:hAnsi="Times New Roman"/>
      <w:sz w:val="24"/>
    </w:rPr>
  </w:style>
  <w:style w:type="paragraph" w:customStyle="1" w:styleId="09-Ttuloemenda-CLG">
    <w:name w:val="09 - Título emenda - CLG"/>
    <w:rsid w:val="00A85ECB"/>
    <w:pPr>
      <w:spacing w:before="480" w:after="360"/>
      <w:jc w:val="center"/>
    </w:pPr>
    <w:rPr>
      <w:rFonts w:ascii="Times New Roman" w:eastAsia="Times New Roman" w:hAnsi="Times New Roman"/>
      <w:b/>
      <w:bCs/>
      <w:spacing w:val="-4"/>
      <w:sz w:val="28"/>
    </w:rPr>
  </w:style>
  <w:style w:type="character" w:customStyle="1" w:styleId="textoacao1">
    <w:name w:val="textoacao1"/>
    <w:basedOn w:val="Fontepargpadro"/>
    <w:rsid w:val="00167307"/>
    <w:rPr>
      <w:rFonts w:ascii="Trebuchet MS" w:hAnsi="Trebuchet MS" w:hint="default"/>
      <w:color w:val="444444"/>
      <w:sz w:val="26"/>
      <w:szCs w:val="26"/>
    </w:rPr>
  </w:style>
  <w:style w:type="character" w:styleId="Refdecomentrio">
    <w:name w:val="annotation reference"/>
    <w:basedOn w:val="Fontepargpadro"/>
    <w:uiPriority w:val="99"/>
    <w:semiHidden/>
    <w:unhideWhenUsed/>
    <w:rsid w:val="00EB7B18"/>
    <w:rPr>
      <w:sz w:val="16"/>
      <w:szCs w:val="16"/>
    </w:rPr>
  </w:style>
  <w:style w:type="paragraph" w:styleId="Textodecomentrio">
    <w:name w:val="annotation text"/>
    <w:basedOn w:val="Normal"/>
    <w:link w:val="TextodecomentrioChar"/>
    <w:uiPriority w:val="99"/>
    <w:semiHidden/>
    <w:unhideWhenUsed/>
    <w:rsid w:val="00EB7B1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B7B18"/>
    <w:rPr>
      <w:sz w:val="20"/>
      <w:szCs w:val="20"/>
    </w:rPr>
  </w:style>
  <w:style w:type="paragraph" w:styleId="Assuntodocomentrio">
    <w:name w:val="annotation subject"/>
    <w:basedOn w:val="Textodecomentrio"/>
    <w:next w:val="Textodecomentrio"/>
    <w:link w:val="AssuntodocomentrioChar"/>
    <w:uiPriority w:val="99"/>
    <w:semiHidden/>
    <w:unhideWhenUsed/>
    <w:rsid w:val="00EB7B18"/>
    <w:rPr>
      <w:b/>
      <w:bCs/>
    </w:rPr>
  </w:style>
  <w:style w:type="character" w:customStyle="1" w:styleId="AssuntodocomentrioChar">
    <w:name w:val="Assunto do comentário Char"/>
    <w:basedOn w:val="TextodecomentrioChar"/>
    <w:link w:val="Assuntodocomentrio"/>
    <w:uiPriority w:val="99"/>
    <w:semiHidden/>
    <w:rsid w:val="00EB7B18"/>
    <w:rPr>
      <w:b/>
      <w:bCs/>
    </w:rPr>
  </w:style>
  <w:style w:type="paragraph" w:styleId="Textodebalo">
    <w:name w:val="Balloon Text"/>
    <w:basedOn w:val="Normal"/>
    <w:link w:val="TextodebaloChar"/>
    <w:uiPriority w:val="99"/>
    <w:semiHidden/>
    <w:unhideWhenUsed/>
    <w:rsid w:val="00EB7B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7B18"/>
    <w:rPr>
      <w:rFonts w:ascii="Tahoma" w:hAnsi="Tahoma" w:cs="Tahoma"/>
      <w:sz w:val="16"/>
      <w:szCs w:val="16"/>
    </w:rPr>
  </w:style>
  <w:style w:type="character" w:customStyle="1" w:styleId="Ttulo1Char">
    <w:name w:val="Título 1 Char"/>
    <w:basedOn w:val="Fontepargpadro"/>
    <w:link w:val="Ttulo1"/>
    <w:uiPriority w:val="9"/>
    <w:rsid w:val="009F3680"/>
    <w:rPr>
      <w:rFonts w:ascii="Times New Roman" w:eastAsia="Times New Roman" w:hAnsi="Times New Roman"/>
      <w:b/>
      <w:bCs/>
      <w:sz w:val="32"/>
    </w:rPr>
  </w:style>
  <w:style w:type="character" w:customStyle="1" w:styleId="Ttulo2Char">
    <w:name w:val="Título 2 Char"/>
    <w:basedOn w:val="Fontepargpadro"/>
    <w:link w:val="Ttulo2"/>
    <w:uiPriority w:val="9"/>
    <w:rsid w:val="009F3680"/>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1302</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Berkeley Alves Ferreira</dc:creator>
  <cp:lastModifiedBy>dermeval</cp:lastModifiedBy>
  <cp:revision>5</cp:revision>
  <dcterms:created xsi:type="dcterms:W3CDTF">2015-06-10T13:23:00Z</dcterms:created>
  <dcterms:modified xsi:type="dcterms:W3CDTF">2015-06-10T13:37:00Z</dcterms:modified>
</cp:coreProperties>
</file>