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86" w:rsidRPr="00B05DC0" w:rsidRDefault="00A34D86" w:rsidP="00C2171C">
      <w:pPr>
        <w:rPr>
          <w:rFonts w:ascii="Arial" w:hAnsi="Arial" w:cs="Arial"/>
          <w:sz w:val="24"/>
          <w:szCs w:val="24"/>
        </w:rPr>
      </w:pPr>
    </w:p>
    <w:p w:rsidR="005A3A5C" w:rsidRDefault="005A3A5C" w:rsidP="005A3A5C">
      <w:pPr>
        <w:pStyle w:val="02-TtuloPrincipal-CLG"/>
      </w:pPr>
      <w:r>
        <w:t xml:space="preserve">PARECER </w:t>
      </w:r>
      <w:proofErr w:type="gramStart"/>
      <w:r>
        <w:t>Nº       ,</w:t>
      </w:r>
      <w:proofErr w:type="gramEnd"/>
      <w:r>
        <w:t xml:space="preserve"> DE 2015</w:t>
      </w:r>
    </w:p>
    <w:p w:rsidR="005A3A5C" w:rsidRPr="00B6300B" w:rsidRDefault="005A3A5C" w:rsidP="005A3A5C">
      <w:pPr>
        <w:pStyle w:val="03-Ementa-CLG"/>
        <w:rPr>
          <w:i/>
        </w:rPr>
      </w:pPr>
      <w:bookmarkStart w:id="0" w:name="sigla_comissao"/>
      <w:bookmarkStart w:id="1" w:name="nome_comissao"/>
      <w:r>
        <w:t>Da COMISSÃO</w:t>
      </w:r>
      <w:bookmarkEnd w:id="0"/>
      <w:r>
        <w:t xml:space="preserve"> </w:t>
      </w:r>
      <w:bookmarkEnd w:id="1"/>
      <w:r>
        <w:t xml:space="preserve">DE DIREITOS HUMANOS E LEGISLAÇÃO PARTICIPATIVA, sobre o Projeto de Lei do Senado (PLS) nº 499, de 2013, da </w:t>
      </w:r>
      <w:r w:rsidRPr="00245301">
        <w:t>Comissão Mista destinada a consolidar a legislação federal e a regulamentar dispositivo da Constituição Federal</w:t>
      </w:r>
      <w:r>
        <w:t xml:space="preserve">, </w:t>
      </w:r>
      <w:r w:rsidRPr="00A51860">
        <w:t>que define os crimes de terrorismo e determina a competência da Justiça Federal para o processamento.</w:t>
      </w:r>
    </w:p>
    <w:p w:rsidR="005A3A5C" w:rsidRDefault="005A3A5C" w:rsidP="005A3A5C">
      <w:pPr>
        <w:pStyle w:val="04-Relatoria-CLG"/>
      </w:pPr>
      <w:r>
        <w:t xml:space="preserve">RELATOR: Senador </w:t>
      </w:r>
      <w:r w:rsidRPr="00A51860">
        <w:rPr>
          <w:b/>
        </w:rPr>
        <w:t>RANDOLFE RODRIGUES</w:t>
      </w:r>
    </w:p>
    <w:p w:rsidR="005A3A5C" w:rsidRDefault="005A3A5C" w:rsidP="005A3A5C">
      <w:pPr>
        <w:pStyle w:val="05-Subttulo-CLG"/>
      </w:pPr>
      <w:r>
        <w:t>I – RELATÓRIO</w:t>
      </w:r>
    </w:p>
    <w:p w:rsidR="005A3A5C" w:rsidRDefault="005A3A5C" w:rsidP="005A3A5C">
      <w:pPr>
        <w:pStyle w:val="05-Subttulo-CLG"/>
        <w:spacing w:after="360"/>
        <w:ind w:firstLine="1418"/>
        <w:rPr>
          <w:b w:val="0"/>
        </w:rPr>
      </w:pPr>
      <w:r>
        <w:rPr>
          <w:b w:val="0"/>
        </w:rPr>
        <w:t xml:space="preserve">O Projeto de Lei do Senado (PLS) nº 499, de 2013, </w:t>
      </w:r>
      <w:r w:rsidRPr="00B6300B">
        <w:rPr>
          <w:b w:val="0"/>
        </w:rPr>
        <w:t xml:space="preserve">de autoria </w:t>
      </w:r>
      <w:r>
        <w:rPr>
          <w:b w:val="0"/>
        </w:rPr>
        <w:t>da Comissão Mista destinada a consolidar a legislação federal e a regulamentar dispositivo da Constituição Federal, define diversos crimes de terrorismo e determina a competência da Justiça Federal para seu processamento.</w:t>
      </w:r>
    </w:p>
    <w:p w:rsidR="005A3A5C" w:rsidRDefault="005A3A5C" w:rsidP="005A3A5C">
      <w:pPr>
        <w:pStyle w:val="05-Subttulo-CLG"/>
        <w:spacing w:after="360"/>
        <w:ind w:firstLine="1418"/>
        <w:rPr>
          <w:b w:val="0"/>
        </w:rPr>
      </w:pPr>
      <w:r>
        <w:rPr>
          <w:b w:val="0"/>
        </w:rPr>
        <w:t xml:space="preserve"> O projeto estabelece o tipo básico em seu art. 2º, consistente nas ações de “</w:t>
      </w:r>
      <w:r w:rsidRPr="000E1DC0">
        <w:rPr>
          <w:b w:val="0"/>
          <w:i/>
        </w:rPr>
        <w:t>provocar ou infundir terror ou pânico generalizado mediante ofensa ou tentativa de ofensa à vida, à integridade física ou à saúde ou à privação da liberdade de pessoa</w:t>
      </w:r>
      <w:r>
        <w:rPr>
          <w:b w:val="0"/>
        </w:rPr>
        <w:t>”. A pena arbitrada para o delito é de reclusão, de 15 (quinze) a 30 (trinta) anos.</w:t>
      </w:r>
    </w:p>
    <w:p w:rsidR="005A3A5C" w:rsidRDefault="005A3A5C" w:rsidP="005A3A5C">
      <w:pPr>
        <w:pStyle w:val="05-Subttulo-CLG"/>
        <w:spacing w:after="360"/>
        <w:ind w:firstLine="1418"/>
        <w:rPr>
          <w:b w:val="0"/>
        </w:rPr>
      </w:pPr>
      <w:r>
        <w:rPr>
          <w:b w:val="0"/>
        </w:rPr>
        <w:t>Ainda foram instituídas outras figuras típicas afetas ao crime de terrorismo, como: financiamento do terrorismo (art. 3º); terrorismo contra coisa (art. 4º); incitação ao terrorismo (art. 5º); favorecimento pessoal no terrorismo (art. 6º); grupo terrorista (art. 7º), todas possuidoras de reprimendas igualmente severas.</w:t>
      </w:r>
    </w:p>
    <w:p w:rsidR="005A3A5C" w:rsidRDefault="005A3A5C" w:rsidP="005A3A5C">
      <w:pPr>
        <w:pStyle w:val="05-Subttulo-CLG"/>
        <w:spacing w:after="360"/>
        <w:ind w:firstLine="1418"/>
        <w:rPr>
          <w:b w:val="0"/>
        </w:rPr>
      </w:pPr>
      <w:r>
        <w:rPr>
          <w:b w:val="0"/>
        </w:rPr>
        <w:lastRenderedPageBreak/>
        <w:t>Em seu art. 8°, a proposição cria hipótese de arrependimento eficaz e de desistência voluntária do delinquente, bem como permite sua inclusão em regime de proteção à vítima e testemunha, caso opte por colaborar com a investigação ou processo criminal. Ainda no art. 9º, o projeto dispõe sobre a progressão de regime apenas após o cumprimento de 4/5 (quatro quintos) do total da pena, em regime fechado.</w:t>
      </w:r>
    </w:p>
    <w:p w:rsidR="005A3A5C" w:rsidRDefault="005A3A5C" w:rsidP="005A3A5C">
      <w:pPr>
        <w:pStyle w:val="05-Subttulo-CLG"/>
        <w:spacing w:after="360"/>
        <w:ind w:firstLine="1418"/>
        <w:rPr>
          <w:b w:val="0"/>
        </w:rPr>
      </w:pPr>
      <w:r>
        <w:rPr>
          <w:b w:val="0"/>
        </w:rPr>
        <w:t xml:space="preserve">Na justificação, a proposição defende que nossa ordem constitucional considera o repúdio ao terrorismo como princípio que rege nossas relações internacionais, ante a previsão do art. 4º, inciso VII, da Constituição Federal (CF), além de reputar esse crime como inafiançável e insuscetível de graça ou anistia (art. 5º, XLIII, CF). </w:t>
      </w:r>
    </w:p>
    <w:p w:rsidR="005A3A5C" w:rsidRPr="000E1DC0" w:rsidRDefault="005A3A5C" w:rsidP="005A3A5C">
      <w:pPr>
        <w:pStyle w:val="05-Subttulo-CLG"/>
        <w:spacing w:after="360"/>
        <w:ind w:firstLine="1418"/>
        <w:rPr>
          <w:b w:val="0"/>
        </w:rPr>
      </w:pPr>
      <w:r>
        <w:rPr>
          <w:b w:val="0"/>
        </w:rPr>
        <w:t xml:space="preserve">Igualmente, assevera que o delito estaria inserido na lei de crimes hediondos (Lei n° 8.072, de 1990), embora o tipo penal que o discipline remonte ao final do regime militar, no contexto da lei de segurança nacional (Lei n° 7.170, de 1983), que, por sua vez, padeceria de diversos vícios conceituais. </w:t>
      </w:r>
    </w:p>
    <w:p w:rsidR="005A3A5C" w:rsidRDefault="005A3A5C" w:rsidP="005A3A5C">
      <w:pPr>
        <w:pStyle w:val="06-Pargrafodetexto-CLG"/>
      </w:pPr>
      <w:r>
        <w:t>Foram apresentadas 13 (treze) emendas no Plenário, assim como aprovados os requerimentos de</w:t>
      </w:r>
      <w:r w:rsidRPr="00245301">
        <w:t xml:space="preserve"> exame </w:t>
      </w:r>
      <w:r>
        <w:t>da matéria pelas</w:t>
      </w:r>
      <w:r w:rsidRPr="00245301">
        <w:t xml:space="preserve"> Comissões de Direitos Humanos e Legislação Participativa; de Constituição, Justiça e Cidadania; de Relações Exteriores e Defesa Nacional; e de Assuntos Sociais para exame do Projeto e das emendas de Plenário.</w:t>
      </w:r>
    </w:p>
    <w:p w:rsidR="005A3A5C" w:rsidRPr="00943082" w:rsidRDefault="005A3A5C" w:rsidP="005A3A5C">
      <w:pPr>
        <w:pStyle w:val="06-Pargrafodetexto-CLG"/>
      </w:pPr>
    </w:p>
    <w:p w:rsidR="005A3A5C" w:rsidRPr="005523B9" w:rsidRDefault="005A3A5C" w:rsidP="005A3A5C">
      <w:pPr>
        <w:pStyle w:val="05-Subttulo-CLG"/>
      </w:pPr>
      <w:r w:rsidRPr="005523B9">
        <w:t>II – ANÁLISE</w:t>
      </w:r>
    </w:p>
    <w:p w:rsidR="005A3A5C" w:rsidRDefault="005A3A5C" w:rsidP="005A3A5C">
      <w:pPr>
        <w:pStyle w:val="06-Pargrafodetexto-CLG"/>
      </w:pPr>
      <w:r>
        <w:t xml:space="preserve">O PLS nº 499, de 2013, é uma das matérias mais polêmicas já apreciadas pela Comissão de Direitos Humanos e Legislação Participativa, estando seu conteúdo entre os temas atribuídos a este Colegiado pelo art. 102-E do Regimento Interno do Senado Federal. </w:t>
      </w:r>
    </w:p>
    <w:p w:rsidR="005A3A5C" w:rsidRDefault="005A3A5C" w:rsidP="005A3A5C">
      <w:pPr>
        <w:pStyle w:val="06-Pargrafodetexto-CLG"/>
      </w:pPr>
      <w:r>
        <w:t xml:space="preserve">Embora festejados juristas entendam pela pertinência da matéria que, vale salientar, também se encontra em discussão no projeto do novo código penal (PLS n° 236, de 2012), observa-se que a presente proposição vem na contramão das tendências mundiais de política criminal que defendem a intervenção mínima do direito penal. </w:t>
      </w:r>
    </w:p>
    <w:p w:rsidR="005A3A5C" w:rsidRDefault="005A3A5C" w:rsidP="005A3A5C">
      <w:pPr>
        <w:pStyle w:val="06-Pargrafodetexto-CLG"/>
      </w:pPr>
      <w:r>
        <w:lastRenderedPageBreak/>
        <w:t>A amplitude do projeto que se utiliza de termos genéricos como “provocar ou infundir terror ou pânico generalizado” (art. 2º) e não disciplina as condutas típicas que consistam especificamente esta “provocação de terror” é claramente inconstitucional, por ofensa ao princípio da reserva legal em direito penal.</w:t>
      </w:r>
    </w:p>
    <w:p w:rsidR="005A3A5C" w:rsidRDefault="005A3A5C" w:rsidP="005A3A5C">
      <w:pPr>
        <w:pStyle w:val="06-Pargrafodetexto-CLG"/>
      </w:pPr>
      <w:r>
        <w:t xml:space="preserve">A lei penal, dada suas severas consequências nos direitos fundamentais dos indivíduos, deve ser </w:t>
      </w:r>
      <w:r w:rsidRPr="001B34CB">
        <w:t xml:space="preserve">suficientemente clara </w:t>
      </w:r>
      <w:r>
        <w:t>e precisa</w:t>
      </w:r>
      <w:r w:rsidRPr="001B34CB">
        <w:t xml:space="preserve"> para que não se promovam injustiças por meio </w:t>
      </w:r>
      <w:r>
        <w:t xml:space="preserve">de interpretações subjetivas </w:t>
      </w:r>
      <w:r w:rsidRPr="001B34CB">
        <w:t>por parte do</w:t>
      </w:r>
      <w:r>
        <w:t xml:space="preserve"> aplicador</w:t>
      </w:r>
      <w:r w:rsidRPr="001B34CB">
        <w:t xml:space="preserve"> do direito</w:t>
      </w:r>
      <w:r>
        <w:t xml:space="preserve">. </w:t>
      </w:r>
    </w:p>
    <w:p w:rsidR="005A3A5C" w:rsidRDefault="005A3A5C" w:rsidP="005A3A5C">
      <w:pPr>
        <w:pStyle w:val="06-Pargrafodetexto-CLG"/>
      </w:pPr>
      <w:r>
        <w:t xml:space="preserve">Da maneira como apresentado, o projeto de lei prevê tipos penais demasiadamente abertos, com penas extremamente elevadas, ofensivas aos princípios basilares de proteção aos direitos humanos. </w:t>
      </w:r>
    </w:p>
    <w:p w:rsidR="005A3A5C" w:rsidRDefault="005A3A5C" w:rsidP="005A3A5C">
      <w:pPr>
        <w:pStyle w:val="06-Pargrafodetexto-CLG"/>
      </w:pPr>
      <w:r>
        <w:t xml:space="preserve">Com efeito, o tipo penal básico de terrorismo, previsto no art. 2°, prevê pena mínima de </w:t>
      </w:r>
      <w:proofErr w:type="gramStart"/>
      <w:r>
        <w:t>15 (quinze) anos de reclusão, reprimenda</w:t>
      </w:r>
      <w:proofErr w:type="gramEnd"/>
      <w:r>
        <w:t xml:space="preserve"> muito superior ao tipo penal de homicídio do art. 121 do Código Penal (Decreto-Lei n°2.848, de 1940). A pena mínima imposta para “matar alguém” é de </w:t>
      </w:r>
      <w:proofErr w:type="gramStart"/>
      <w:r>
        <w:t>6</w:t>
      </w:r>
      <w:proofErr w:type="gramEnd"/>
      <w:r>
        <w:t xml:space="preserve"> (seis) anos de reclusão. A falta de proporcionalidade é evidente.</w:t>
      </w:r>
    </w:p>
    <w:p w:rsidR="005A3A5C" w:rsidRDefault="005A3A5C" w:rsidP="005A3A5C">
      <w:pPr>
        <w:pStyle w:val="06-Pargrafodetexto-CLG"/>
      </w:pPr>
      <w:r>
        <w:t>Ademais, deve ser ressaltado que a matéria demanda profunda discussão pela sociedade e não se pode ser submetida às pressas ao Poder Legislativo. Ainda que atualmente a matéria tenha ingressado na pauta legislativa, diante da ocorrência de diversos protestos em todo o país, havendo surgido organizações, a exemplo dos chamados “</w:t>
      </w:r>
      <w:proofErr w:type="spellStart"/>
      <w:proofErr w:type="gramStart"/>
      <w:r w:rsidRPr="000C3E7B">
        <w:rPr>
          <w:i/>
        </w:rPr>
        <w:t>black</w:t>
      </w:r>
      <w:proofErr w:type="spellEnd"/>
      <w:proofErr w:type="gramEnd"/>
      <w:r w:rsidRPr="000C3E7B">
        <w:rPr>
          <w:i/>
        </w:rPr>
        <w:t xml:space="preserve"> </w:t>
      </w:r>
      <w:proofErr w:type="spellStart"/>
      <w:r w:rsidRPr="000C3E7B">
        <w:rPr>
          <w:i/>
        </w:rPr>
        <w:t>blocks</w:t>
      </w:r>
      <w:proofErr w:type="spellEnd"/>
      <w:r>
        <w:t xml:space="preserve">”, é imperioso que se protejam os direitos e garantias fundamentais dos indivíduos, sob pena da incidência de um direito penal de emergência. </w:t>
      </w:r>
    </w:p>
    <w:p w:rsidR="005A3A5C" w:rsidRDefault="005A3A5C" w:rsidP="005A3A5C">
      <w:pPr>
        <w:pStyle w:val="06-Pargrafodetexto-CLG"/>
      </w:pPr>
      <w:r w:rsidRPr="000C3E7B">
        <w:t>N</w:t>
      </w:r>
      <w:r>
        <w:t>ão se deve olvidar, repita-se, que o P</w:t>
      </w:r>
      <w:r w:rsidRPr="005C256B">
        <w:t>rojeto de Lei do Senado nº 236, de 2012, nos termos da Emenda nº 1 - CTRCP (Substitutivo)</w:t>
      </w:r>
      <w:r>
        <w:t xml:space="preserve"> que cria o novo código penal</w:t>
      </w:r>
      <w:proofErr w:type="gramStart"/>
      <w:r>
        <w:t>, disciplina</w:t>
      </w:r>
      <w:proofErr w:type="gramEnd"/>
      <w:r>
        <w:t xml:space="preserve"> o tipo penal de terrorismo no art. 239, corrigindo os vícios da presente proposição.</w:t>
      </w:r>
      <w:r w:rsidRPr="005C256B">
        <w:t xml:space="preserve"> </w:t>
      </w:r>
      <w:r>
        <w:t>Naquele projeto há extensa disciplina do que são constituídos os atos de terrorismo, mediante condutas típicas claramente identificadas. Também por este motivo, a conveniência deste projeto resta enfraquecida.</w:t>
      </w:r>
    </w:p>
    <w:p w:rsidR="005A3A5C" w:rsidRPr="000C3E7B" w:rsidRDefault="005A3A5C" w:rsidP="005A3A5C">
      <w:pPr>
        <w:pStyle w:val="06-Pargrafodetexto-CLG"/>
      </w:pPr>
      <w:r>
        <w:lastRenderedPageBreak/>
        <w:t xml:space="preserve">Por fim, importa enfatizar que as figuras típicas previstas na proposição </w:t>
      </w:r>
      <w:proofErr w:type="gramStart"/>
      <w:r>
        <w:t>sob análise</w:t>
      </w:r>
      <w:proofErr w:type="gramEnd"/>
      <w:r>
        <w:t xml:space="preserve"> em alguma medida já se encontram tipificadas pela legislação vigente. Assim, não se vislumbra verdadeira urgência para a aprovação do presente projeto.</w:t>
      </w:r>
    </w:p>
    <w:p w:rsidR="005A3A5C" w:rsidRDefault="005A3A5C" w:rsidP="005A3A5C">
      <w:pPr>
        <w:pStyle w:val="05-Subttulo-CLG"/>
      </w:pPr>
      <w:r>
        <w:t>III – VOTO</w:t>
      </w:r>
    </w:p>
    <w:p w:rsidR="005A3A5C" w:rsidRPr="00C66C1B" w:rsidRDefault="005A3A5C" w:rsidP="005A3A5C">
      <w:pPr>
        <w:pStyle w:val="06-Pargrafodetexto-CLG"/>
      </w:pPr>
      <w:r>
        <w:t xml:space="preserve">Face ao exposto, o voto é pela </w:t>
      </w:r>
      <w:r>
        <w:rPr>
          <w:b/>
        </w:rPr>
        <w:t xml:space="preserve">rejeição </w:t>
      </w:r>
      <w:r w:rsidRPr="001B78DD">
        <w:t>do</w:t>
      </w:r>
      <w:r>
        <w:t xml:space="preserve"> Projeto de Lei do Senado nº 499, de 2013, e </w:t>
      </w:r>
      <w:r w:rsidRPr="00D36AE5">
        <w:t>pela</w:t>
      </w:r>
      <w:r>
        <w:rPr>
          <w:b/>
        </w:rPr>
        <w:t xml:space="preserve"> prejudicialidade </w:t>
      </w:r>
      <w:r>
        <w:t>de todas as Emendas apresentadas em P</w:t>
      </w:r>
      <w:r w:rsidRPr="00C66C1B">
        <w:t>lenário.</w:t>
      </w:r>
    </w:p>
    <w:p w:rsidR="005A3A5C" w:rsidRDefault="005A3A5C" w:rsidP="005A3A5C">
      <w:pPr>
        <w:pStyle w:val="10-Local-CLG"/>
      </w:pPr>
      <w:r>
        <w:t>Sala da Comissão,</w:t>
      </w:r>
      <w:r w:rsidR="005F1F55">
        <w:t xml:space="preserve"> 13 de maio de 2015.</w:t>
      </w:r>
    </w:p>
    <w:p w:rsidR="005A3A5C" w:rsidRPr="00724990" w:rsidRDefault="005F1F55" w:rsidP="005F1F55">
      <w:pPr>
        <w:pStyle w:val="11-Assinaturas-CLG"/>
        <w:ind w:left="0"/>
        <w:jc w:val="right"/>
      </w:pPr>
      <w:r>
        <w:t>Senador Paulo Paim</w:t>
      </w:r>
      <w:r w:rsidR="005A3A5C">
        <w:t xml:space="preserve">, </w:t>
      </w:r>
      <w:proofErr w:type="gramStart"/>
      <w:r w:rsidR="005A3A5C">
        <w:t>Presidente</w:t>
      </w:r>
      <w:proofErr w:type="gramEnd"/>
    </w:p>
    <w:p w:rsidR="005A3A5C" w:rsidRDefault="005F1F55" w:rsidP="005F1F55">
      <w:pPr>
        <w:pStyle w:val="11-Assinaturas-CLG"/>
        <w:ind w:left="0"/>
        <w:jc w:val="right"/>
      </w:pPr>
      <w:r>
        <w:t>Senador Randolfe Rodrigues</w:t>
      </w:r>
      <w:r w:rsidR="005A3A5C">
        <w:t>, Relator</w:t>
      </w:r>
    </w:p>
    <w:p w:rsidR="005A3A5C" w:rsidRPr="002D218E" w:rsidRDefault="005A3A5C" w:rsidP="005A3A5C"/>
    <w:p w:rsidR="005A3A5C" w:rsidRDefault="005A3A5C" w:rsidP="005A3A5C"/>
    <w:p w:rsidR="00157919" w:rsidRPr="001A1C9E" w:rsidRDefault="00157919" w:rsidP="001E7569">
      <w:pPr>
        <w:jc w:val="both"/>
        <w:rPr>
          <w:bCs/>
          <w:sz w:val="24"/>
          <w:szCs w:val="24"/>
        </w:rPr>
      </w:pPr>
    </w:p>
    <w:sectPr w:rsidR="00157919" w:rsidRPr="001A1C9E" w:rsidSect="00097958">
      <w:headerReference w:type="default" r:id="rId7"/>
      <w:footerReference w:type="default" r:id="rId8"/>
      <w:pgSz w:w="11906" w:h="16838" w:code="9"/>
      <w:pgMar w:top="1418" w:right="1134" w:bottom="1134" w:left="1701" w:header="11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F5" w:rsidRDefault="005B7AF5" w:rsidP="00706665">
      <w:r>
        <w:separator/>
      </w:r>
    </w:p>
  </w:endnote>
  <w:endnote w:type="continuationSeparator" w:id="0">
    <w:p w:rsidR="005B7AF5" w:rsidRDefault="005B7AF5" w:rsidP="0070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AF5" w:rsidRDefault="008D61B4" w:rsidP="00196BF2">
    <w:pPr>
      <w:pStyle w:val="Rodap"/>
      <w:jc w:val="center"/>
      <w:rPr>
        <w:rFonts w:ascii="ITC Stone Sans Std Medium" w:hAnsi="ITC Stone Sans Std Medium"/>
        <w:sz w:val="14"/>
        <w:szCs w:val="14"/>
      </w:rPr>
    </w:pPr>
    <w:r>
      <w:rPr>
        <w:rFonts w:ascii="ITC Stone Sans Std Medium" w:hAnsi="ITC Stone Sans Std Medium"/>
        <w:noProof/>
        <w:sz w:val="14"/>
        <w:szCs w:val="14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19685</wp:posOffset>
          </wp:positionV>
          <wp:extent cx="7675245" cy="18161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181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7AF5" w:rsidRPr="006D1BBF" w:rsidRDefault="005B7AF5" w:rsidP="00196BF2">
    <w:pPr>
      <w:pStyle w:val="Rodap"/>
      <w:jc w:val="center"/>
      <w:rPr>
        <w:rFonts w:ascii="Times New Roman" w:hAnsi="Times New Roman"/>
        <w:sz w:val="14"/>
        <w:szCs w:val="14"/>
      </w:rPr>
    </w:pPr>
  </w:p>
  <w:p w:rsidR="005B7AF5" w:rsidRPr="006D1BBF" w:rsidRDefault="005B7AF5" w:rsidP="00196BF2">
    <w:pPr>
      <w:pStyle w:val="Rodap"/>
      <w:jc w:val="center"/>
      <w:rPr>
        <w:rFonts w:ascii="Times New Roman" w:hAnsi="Times New Roman"/>
        <w:sz w:val="14"/>
        <w:szCs w:val="14"/>
      </w:rPr>
    </w:pPr>
    <w:r w:rsidRPr="006D1BBF">
      <w:rPr>
        <w:rFonts w:ascii="Times New Roman" w:hAnsi="Times New Roman"/>
        <w:sz w:val="14"/>
        <w:szCs w:val="14"/>
      </w:rPr>
      <w:t>SENADO F</w:t>
    </w:r>
    <w:r>
      <w:rPr>
        <w:rFonts w:ascii="Times New Roman" w:hAnsi="Times New Roman"/>
        <w:sz w:val="14"/>
        <w:szCs w:val="14"/>
      </w:rPr>
      <w:t xml:space="preserve">EDERAL – Gabinete do Senador Randolfe Rodrigues | Ala Teotônio Vilela, Gabinete </w:t>
    </w:r>
    <w:proofErr w:type="gramStart"/>
    <w:r>
      <w:rPr>
        <w:rFonts w:ascii="Times New Roman" w:hAnsi="Times New Roman"/>
        <w:sz w:val="14"/>
        <w:szCs w:val="14"/>
      </w:rPr>
      <w:t>7</w:t>
    </w:r>
    <w:proofErr w:type="gramEnd"/>
    <w:r w:rsidRPr="006D1BBF">
      <w:rPr>
        <w:rFonts w:ascii="Times New Roman" w:hAnsi="Times New Roman"/>
        <w:sz w:val="14"/>
        <w:szCs w:val="14"/>
      </w:rPr>
      <w:t xml:space="preserve"> | CEP 70165-900 | Brasília DF</w:t>
    </w:r>
  </w:p>
  <w:p w:rsidR="005B7AF5" w:rsidRPr="006D1BBF" w:rsidRDefault="005B7AF5" w:rsidP="00196BF2">
    <w:pPr>
      <w:pStyle w:val="Rodap"/>
      <w:jc w:val="center"/>
      <w:rPr>
        <w:rFonts w:ascii="Times New Roman" w:hAnsi="Times New Roman"/>
        <w:sz w:val="14"/>
        <w:szCs w:val="14"/>
      </w:rPr>
    </w:pPr>
    <w:r w:rsidRPr="006D1BBF">
      <w:rPr>
        <w:rFonts w:ascii="Times New Roman" w:hAnsi="Times New Roman"/>
        <w:sz w:val="14"/>
        <w:szCs w:val="14"/>
      </w:rPr>
      <w:t>Telef</w:t>
    </w:r>
    <w:r>
      <w:rPr>
        <w:rFonts w:ascii="Times New Roman" w:hAnsi="Times New Roman"/>
        <w:sz w:val="14"/>
        <w:szCs w:val="14"/>
      </w:rPr>
      <w:t>one: +55 (61) 3303-6568 randolfe.rodrigues</w:t>
    </w:r>
    <w:r w:rsidRPr="006D1BBF">
      <w:rPr>
        <w:rFonts w:ascii="Times New Roman" w:hAnsi="Times New Roman"/>
        <w:sz w:val="14"/>
        <w:szCs w:val="14"/>
      </w:rPr>
      <w:t>@senado</w:t>
    </w:r>
    <w:r>
      <w:rPr>
        <w:rFonts w:ascii="Times New Roman" w:hAnsi="Times New Roman"/>
        <w:sz w:val="14"/>
        <w:szCs w:val="14"/>
      </w:rPr>
      <w:t>r</w:t>
    </w:r>
    <w:r w:rsidRPr="006D1BBF">
      <w:rPr>
        <w:rFonts w:ascii="Times New Roman" w:hAnsi="Times New Roman"/>
        <w:sz w:val="14"/>
        <w:szCs w:val="14"/>
      </w:rPr>
      <w:t>.leg.br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F5" w:rsidRDefault="005B7AF5" w:rsidP="00706665">
      <w:r>
        <w:separator/>
      </w:r>
    </w:p>
  </w:footnote>
  <w:footnote w:type="continuationSeparator" w:id="0">
    <w:p w:rsidR="005B7AF5" w:rsidRDefault="005B7AF5" w:rsidP="00706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AF5" w:rsidRDefault="008D61B4" w:rsidP="00457D2B">
    <w:pPr>
      <w:pStyle w:val="Cabealho"/>
      <w:spacing w:after="120"/>
      <w:jc w:val="center"/>
    </w:pPr>
    <w:r>
      <w:rPr>
        <w:noProof/>
        <w:lang w:eastAsia="pt-BR"/>
      </w:rPr>
      <w:drawing>
        <wp:inline distT="0" distB="0" distL="0" distR="0">
          <wp:extent cx="1219200" cy="933450"/>
          <wp:effectExtent l="19050" t="0" r="0" b="0"/>
          <wp:docPr id="1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7AF5" w:rsidRPr="006D1BBF" w:rsidRDefault="005B7AF5" w:rsidP="002132DF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Gabinete do Senador Randolfe Rodrigues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20E"/>
    <w:multiLevelType w:val="hybridMultilevel"/>
    <w:tmpl w:val="3F4EFFF8"/>
    <w:lvl w:ilvl="0" w:tplc="3DF8E62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44FF32CD"/>
    <w:multiLevelType w:val="hybridMultilevel"/>
    <w:tmpl w:val="C86C5C82"/>
    <w:lvl w:ilvl="0" w:tplc="B9E86EA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706665"/>
    <w:rsid w:val="000062FB"/>
    <w:rsid w:val="000130A1"/>
    <w:rsid w:val="000177E9"/>
    <w:rsid w:val="000253FD"/>
    <w:rsid w:val="00026C33"/>
    <w:rsid w:val="000475E8"/>
    <w:rsid w:val="000518A5"/>
    <w:rsid w:val="00097958"/>
    <w:rsid w:val="000A546F"/>
    <w:rsid w:val="000C4375"/>
    <w:rsid w:val="000F0A2E"/>
    <w:rsid w:val="00147A33"/>
    <w:rsid w:val="00156EE9"/>
    <w:rsid w:val="00157919"/>
    <w:rsid w:val="0016681F"/>
    <w:rsid w:val="00174725"/>
    <w:rsid w:val="001822E3"/>
    <w:rsid w:val="00196BF2"/>
    <w:rsid w:val="001A1C9E"/>
    <w:rsid w:val="001A2E09"/>
    <w:rsid w:val="001C33AD"/>
    <w:rsid w:val="001C4040"/>
    <w:rsid w:val="001D7E61"/>
    <w:rsid w:val="001E7569"/>
    <w:rsid w:val="002132DF"/>
    <w:rsid w:val="002224DF"/>
    <w:rsid w:val="002264EF"/>
    <w:rsid w:val="002427E2"/>
    <w:rsid w:val="0025753F"/>
    <w:rsid w:val="00292FE2"/>
    <w:rsid w:val="00294EFF"/>
    <w:rsid w:val="002A47E5"/>
    <w:rsid w:val="002A756C"/>
    <w:rsid w:val="002A77CF"/>
    <w:rsid w:val="002E728F"/>
    <w:rsid w:val="002F3E9A"/>
    <w:rsid w:val="00305BF1"/>
    <w:rsid w:val="0032036B"/>
    <w:rsid w:val="003468F3"/>
    <w:rsid w:val="00353700"/>
    <w:rsid w:val="003930ED"/>
    <w:rsid w:val="003A1081"/>
    <w:rsid w:val="003B6280"/>
    <w:rsid w:val="003E0CDD"/>
    <w:rsid w:val="003E5618"/>
    <w:rsid w:val="00444002"/>
    <w:rsid w:val="004466FC"/>
    <w:rsid w:val="00457D2B"/>
    <w:rsid w:val="00460BFA"/>
    <w:rsid w:val="00474203"/>
    <w:rsid w:val="00484D87"/>
    <w:rsid w:val="00486D28"/>
    <w:rsid w:val="00503273"/>
    <w:rsid w:val="00507E16"/>
    <w:rsid w:val="00511B8E"/>
    <w:rsid w:val="005149D0"/>
    <w:rsid w:val="00516E70"/>
    <w:rsid w:val="005210DF"/>
    <w:rsid w:val="00522BEC"/>
    <w:rsid w:val="00581B05"/>
    <w:rsid w:val="00596402"/>
    <w:rsid w:val="005A1C4D"/>
    <w:rsid w:val="005A3A5C"/>
    <w:rsid w:val="005B7AF5"/>
    <w:rsid w:val="005F1F55"/>
    <w:rsid w:val="00623EE5"/>
    <w:rsid w:val="006240A7"/>
    <w:rsid w:val="0063134A"/>
    <w:rsid w:val="00634F7C"/>
    <w:rsid w:val="006429D8"/>
    <w:rsid w:val="006476F6"/>
    <w:rsid w:val="00666A8B"/>
    <w:rsid w:val="00673BBB"/>
    <w:rsid w:val="00674D4B"/>
    <w:rsid w:val="00690256"/>
    <w:rsid w:val="006942F1"/>
    <w:rsid w:val="006A2AD9"/>
    <w:rsid w:val="006B3942"/>
    <w:rsid w:val="006B700A"/>
    <w:rsid w:val="006C2049"/>
    <w:rsid w:val="006D14C5"/>
    <w:rsid w:val="006D1BBF"/>
    <w:rsid w:val="006D59C7"/>
    <w:rsid w:val="00703E99"/>
    <w:rsid w:val="00706665"/>
    <w:rsid w:val="007115BA"/>
    <w:rsid w:val="007250AB"/>
    <w:rsid w:val="00730178"/>
    <w:rsid w:val="00730572"/>
    <w:rsid w:val="007565B6"/>
    <w:rsid w:val="007961B6"/>
    <w:rsid w:val="007B2F60"/>
    <w:rsid w:val="007B5A0E"/>
    <w:rsid w:val="007D1E4A"/>
    <w:rsid w:val="007D4788"/>
    <w:rsid w:val="007D680C"/>
    <w:rsid w:val="00852BBB"/>
    <w:rsid w:val="0087655A"/>
    <w:rsid w:val="00883D23"/>
    <w:rsid w:val="0089272B"/>
    <w:rsid w:val="0089423A"/>
    <w:rsid w:val="00897852"/>
    <w:rsid w:val="008C4723"/>
    <w:rsid w:val="008D61B4"/>
    <w:rsid w:val="008D6221"/>
    <w:rsid w:val="00950736"/>
    <w:rsid w:val="0095363E"/>
    <w:rsid w:val="00975DEF"/>
    <w:rsid w:val="00980735"/>
    <w:rsid w:val="009A5298"/>
    <w:rsid w:val="009C2992"/>
    <w:rsid w:val="009F303B"/>
    <w:rsid w:val="00A11283"/>
    <w:rsid w:val="00A21936"/>
    <w:rsid w:val="00A34D86"/>
    <w:rsid w:val="00A41468"/>
    <w:rsid w:val="00A46373"/>
    <w:rsid w:val="00A74AED"/>
    <w:rsid w:val="00A755F6"/>
    <w:rsid w:val="00A80C4B"/>
    <w:rsid w:val="00AA7C56"/>
    <w:rsid w:val="00B02361"/>
    <w:rsid w:val="00B0376B"/>
    <w:rsid w:val="00B03C6E"/>
    <w:rsid w:val="00B05DC0"/>
    <w:rsid w:val="00B1093E"/>
    <w:rsid w:val="00B13AB4"/>
    <w:rsid w:val="00B630CC"/>
    <w:rsid w:val="00B75683"/>
    <w:rsid w:val="00BA42D2"/>
    <w:rsid w:val="00BD3FA4"/>
    <w:rsid w:val="00BD512F"/>
    <w:rsid w:val="00BE3674"/>
    <w:rsid w:val="00BF1490"/>
    <w:rsid w:val="00C10DE5"/>
    <w:rsid w:val="00C2171C"/>
    <w:rsid w:val="00C21CE8"/>
    <w:rsid w:val="00C36BC6"/>
    <w:rsid w:val="00CA1DBF"/>
    <w:rsid w:val="00CA2C08"/>
    <w:rsid w:val="00CE0B84"/>
    <w:rsid w:val="00CE62DE"/>
    <w:rsid w:val="00CF670C"/>
    <w:rsid w:val="00D06E0A"/>
    <w:rsid w:val="00D20885"/>
    <w:rsid w:val="00D62FB4"/>
    <w:rsid w:val="00D76FEF"/>
    <w:rsid w:val="00DD4440"/>
    <w:rsid w:val="00E1225B"/>
    <w:rsid w:val="00E1607B"/>
    <w:rsid w:val="00E34D5E"/>
    <w:rsid w:val="00E425AE"/>
    <w:rsid w:val="00E625E5"/>
    <w:rsid w:val="00E7379E"/>
    <w:rsid w:val="00E76E13"/>
    <w:rsid w:val="00E837F7"/>
    <w:rsid w:val="00E961FE"/>
    <w:rsid w:val="00EA48B7"/>
    <w:rsid w:val="00EA4F94"/>
    <w:rsid w:val="00EA6B3A"/>
    <w:rsid w:val="00ED0C4F"/>
    <w:rsid w:val="00EE3E40"/>
    <w:rsid w:val="00EF4A3F"/>
    <w:rsid w:val="00F153F2"/>
    <w:rsid w:val="00F26FFE"/>
    <w:rsid w:val="00F31585"/>
    <w:rsid w:val="00F42370"/>
    <w:rsid w:val="00F44622"/>
    <w:rsid w:val="00F81C1A"/>
    <w:rsid w:val="00F85870"/>
    <w:rsid w:val="00FA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66A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0A546F"/>
    <w:pPr>
      <w:keepNext/>
      <w:ind w:right="284"/>
      <w:outlineLvl w:val="6"/>
    </w:pPr>
    <w:rPr>
      <w:rFonts w:ascii="Verdana" w:hAnsi="Verdana"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666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6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666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6665"/>
  </w:style>
  <w:style w:type="paragraph" w:styleId="Rodap">
    <w:name w:val="footer"/>
    <w:basedOn w:val="Normal"/>
    <w:link w:val="RodapChar"/>
    <w:unhideWhenUsed/>
    <w:rsid w:val="0070666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6665"/>
  </w:style>
  <w:style w:type="table" w:styleId="Tabelacomgrade">
    <w:name w:val="Table Grid"/>
    <w:basedOn w:val="Tabelanormal"/>
    <w:uiPriority w:val="59"/>
    <w:rsid w:val="009C2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0A546F"/>
    <w:rPr>
      <w:rFonts w:ascii="Verdana" w:eastAsia="Times New Roman" w:hAnsi="Verdana" w:cs="Times New Roman"/>
      <w:color w:val="00008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A546F"/>
    <w:pPr>
      <w:ind w:firstLine="851"/>
      <w:jc w:val="both"/>
    </w:pPr>
    <w:rPr>
      <w:b/>
      <w:color w:val="00008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A546F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paragraph" w:customStyle="1" w:styleId="Normalnumerado">
    <w:name w:val="Normal numerado"/>
    <w:basedOn w:val="Normal"/>
    <w:rsid w:val="009F303B"/>
    <w:pPr>
      <w:numPr>
        <w:numId w:val="1"/>
      </w:numPr>
      <w:tabs>
        <w:tab w:val="clear" w:pos="705"/>
      </w:tabs>
      <w:spacing w:after="120"/>
      <w:ind w:left="0" w:firstLine="0"/>
      <w:jc w:val="both"/>
    </w:pPr>
    <w:rPr>
      <w:snapToGrid w:val="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13A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13AB4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rsid w:val="00B13AB4"/>
    <w:pPr>
      <w:spacing w:after="120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13AB4"/>
    <w:rPr>
      <w:rFonts w:ascii="Times New Roman" w:eastAsia="Times New Roman" w:hAnsi="Times New Roman"/>
      <w:sz w:val="24"/>
      <w:szCs w:val="24"/>
    </w:rPr>
  </w:style>
  <w:style w:type="paragraph" w:customStyle="1" w:styleId="titulo4">
    <w:name w:val="titulo4"/>
    <w:basedOn w:val="Normal"/>
    <w:rsid w:val="002224DF"/>
    <w:rPr>
      <w:bCs/>
      <w:sz w:val="24"/>
    </w:rPr>
  </w:style>
  <w:style w:type="character" w:customStyle="1" w:styleId="Destaque">
    <w:name w:val="Destaque"/>
    <w:basedOn w:val="Fontepargpadro"/>
    <w:rsid w:val="002224DF"/>
    <w:rPr>
      <w:rFonts w:ascii="Times New Roman" w:hAnsi="Times New Roman" w:cs="Times New Roman"/>
      <w:color w:val="8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66A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91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57919"/>
    <w:rPr>
      <w:rFonts w:ascii="Times New Roman" w:eastAsia="Times New Roman" w:hAnsi="Times New Roman"/>
    </w:rPr>
  </w:style>
  <w:style w:type="paragraph" w:customStyle="1" w:styleId="02-TtuloPrincipal-CLG">
    <w:name w:val="02 - Título Principal - CLG"/>
    <w:link w:val="02-TtuloPrincipal-CLGChar"/>
    <w:rsid w:val="005A3A5C"/>
    <w:pPr>
      <w:spacing w:after="960"/>
      <w:jc w:val="center"/>
    </w:pPr>
    <w:rPr>
      <w:rFonts w:ascii="Times New Roman" w:eastAsia="Times New Roman" w:hAnsi="Times New Roman"/>
      <w:b/>
      <w:bCs/>
      <w:sz w:val="32"/>
    </w:rPr>
  </w:style>
  <w:style w:type="paragraph" w:customStyle="1" w:styleId="03-Ementa-CLG">
    <w:name w:val="03 - Ementa - CLG"/>
    <w:link w:val="03-Ementa-CLGCharChar"/>
    <w:rsid w:val="005A3A5C"/>
    <w:pPr>
      <w:spacing w:after="960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03-Ementa-CLGCharChar">
    <w:name w:val="03 - Ementa - CLG Char Char"/>
    <w:basedOn w:val="Fontepargpadro"/>
    <w:link w:val="03-Ementa-CLG"/>
    <w:rsid w:val="005A3A5C"/>
    <w:rPr>
      <w:rFonts w:ascii="Times New Roman" w:eastAsia="Arial Unicode MS" w:hAnsi="Times New Roman"/>
      <w:sz w:val="24"/>
      <w:szCs w:val="24"/>
    </w:rPr>
  </w:style>
  <w:style w:type="paragraph" w:customStyle="1" w:styleId="04-Relatoria-CLG">
    <w:name w:val="04 - Relatoria - CLG"/>
    <w:link w:val="04-Relatoria-CLGChar"/>
    <w:rsid w:val="005A3A5C"/>
    <w:pPr>
      <w:spacing w:after="960"/>
      <w:ind w:left="1440"/>
    </w:pPr>
    <w:rPr>
      <w:rFonts w:ascii="Times New Roman" w:eastAsia="Times New Roman" w:hAnsi="Times New Roman"/>
      <w:sz w:val="28"/>
    </w:rPr>
  </w:style>
  <w:style w:type="paragraph" w:customStyle="1" w:styleId="05-Subttulo-CLG">
    <w:name w:val="05 - Subtítulo - CLG"/>
    <w:link w:val="05-Subttulo-CLGChar"/>
    <w:rsid w:val="005A3A5C"/>
    <w:pPr>
      <w:spacing w:after="480"/>
      <w:jc w:val="both"/>
    </w:pPr>
    <w:rPr>
      <w:rFonts w:ascii="Times New Roman" w:eastAsia="Times New Roman" w:hAnsi="Times New Roman"/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5A3A5C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paragraph" w:customStyle="1" w:styleId="10-Local-CLG">
    <w:name w:val="10 - Local - CLG"/>
    <w:link w:val="10-Local-CLGChar"/>
    <w:rsid w:val="005A3A5C"/>
    <w:pPr>
      <w:spacing w:before="960" w:after="720"/>
      <w:ind w:firstLine="2520"/>
      <w:jc w:val="both"/>
    </w:pPr>
    <w:rPr>
      <w:rFonts w:ascii="Times New Roman" w:eastAsia="Times New Roman" w:hAnsi="Times New Roman"/>
      <w:sz w:val="28"/>
    </w:rPr>
  </w:style>
  <w:style w:type="paragraph" w:customStyle="1" w:styleId="11-Assinaturas-CLG">
    <w:name w:val="11 - Assinaturas - CLG"/>
    <w:link w:val="11-Assinaturas-CLGChar"/>
    <w:rsid w:val="005A3A5C"/>
    <w:pPr>
      <w:spacing w:after="960"/>
      <w:ind w:left="6240"/>
      <w:jc w:val="both"/>
    </w:pPr>
    <w:rPr>
      <w:rFonts w:ascii="Times New Roman" w:eastAsia="Times New Roman" w:hAnsi="Times New Roman"/>
      <w:sz w:val="28"/>
    </w:rPr>
  </w:style>
  <w:style w:type="character" w:customStyle="1" w:styleId="02-TtuloPrincipal-CLGChar">
    <w:name w:val="02 - Título Principal - CLG Char"/>
    <w:basedOn w:val="Fontepargpadro"/>
    <w:link w:val="02-TtuloPrincipal-CLG"/>
    <w:rsid w:val="005A3A5C"/>
    <w:rPr>
      <w:rFonts w:ascii="Times New Roman" w:eastAsia="Times New Roman" w:hAnsi="Times New Roman"/>
      <w:b/>
      <w:bCs/>
      <w:sz w:val="32"/>
    </w:rPr>
  </w:style>
  <w:style w:type="character" w:customStyle="1" w:styleId="04-Relatoria-CLGChar">
    <w:name w:val="04 - Relatoria - CLG Char"/>
    <w:basedOn w:val="Fontepargpadro"/>
    <w:link w:val="04-Relatoria-CLG"/>
    <w:rsid w:val="005A3A5C"/>
    <w:rPr>
      <w:rFonts w:ascii="Times New Roman" w:eastAsia="Times New Roman" w:hAnsi="Times New Roman"/>
      <w:sz w:val="28"/>
    </w:rPr>
  </w:style>
  <w:style w:type="character" w:customStyle="1" w:styleId="05-Subttulo-CLGChar">
    <w:name w:val="05 - Subtítulo - CLG Char"/>
    <w:basedOn w:val="Fontepargpadro"/>
    <w:link w:val="05-Subttulo-CLG"/>
    <w:rsid w:val="005A3A5C"/>
    <w:rPr>
      <w:rFonts w:ascii="Times New Roman" w:eastAsia="Times New Roman" w:hAnsi="Times New Roman"/>
      <w:b/>
      <w:bCs/>
      <w:sz w:val="28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5A3A5C"/>
    <w:rPr>
      <w:rFonts w:ascii="Times New Roman" w:eastAsia="Times New Roman" w:hAnsi="Times New Roman"/>
      <w:sz w:val="28"/>
    </w:rPr>
  </w:style>
  <w:style w:type="character" w:customStyle="1" w:styleId="10-Local-CLGChar">
    <w:name w:val="10 - Local - CLG Char"/>
    <w:basedOn w:val="Fontepargpadro"/>
    <w:link w:val="10-Local-CLG"/>
    <w:rsid w:val="005A3A5C"/>
    <w:rPr>
      <w:rFonts w:ascii="Times New Roman" w:eastAsia="Times New Roman" w:hAnsi="Times New Roman"/>
      <w:sz w:val="28"/>
    </w:rPr>
  </w:style>
  <w:style w:type="character" w:customStyle="1" w:styleId="11-Assinaturas-CLGChar">
    <w:name w:val="11 - Assinaturas - CLG Char"/>
    <w:basedOn w:val="Fontepargpadro"/>
    <w:link w:val="11-Assinaturas-CLG"/>
    <w:rsid w:val="005A3A5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031</vt:lpstr>
    </vt:vector>
  </TitlesOfParts>
  <Company>Senado Federal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031</dc:title>
  <dc:creator>isabelas</dc:creator>
  <cp:lastModifiedBy>segidio</cp:lastModifiedBy>
  <cp:revision>3</cp:revision>
  <cp:lastPrinted>2011-11-21T23:17:00Z</cp:lastPrinted>
  <dcterms:created xsi:type="dcterms:W3CDTF">2015-05-15T14:25:00Z</dcterms:created>
  <dcterms:modified xsi:type="dcterms:W3CDTF">2015-05-15T14:25:00Z</dcterms:modified>
</cp:coreProperties>
</file>