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C8" w:rsidRPr="0067135F" w:rsidRDefault="00BD1CC8" w:rsidP="0067135F">
      <w:pPr>
        <w:pStyle w:val="Default"/>
        <w:rPr>
          <w:rFonts w:ascii="Times New Roman" w:hAnsi="Times New Roman" w:cs="Times New Roman"/>
        </w:rPr>
      </w:pPr>
    </w:p>
    <w:p w:rsidR="00CB24B2" w:rsidRDefault="00BD1CC8" w:rsidP="0067135F">
      <w:pPr>
        <w:pStyle w:val="Default"/>
        <w:jc w:val="center"/>
        <w:rPr>
          <w:rFonts w:ascii="Times New Roman" w:hAnsi="Times New Roman" w:cs="Times New Roman"/>
        </w:rPr>
      </w:pPr>
      <w:r w:rsidRPr="0067135F">
        <w:rPr>
          <w:rFonts w:ascii="Times New Roman" w:hAnsi="Times New Roman" w:cs="Times New Roman"/>
        </w:rPr>
        <w:t xml:space="preserve"> </w:t>
      </w:r>
    </w:p>
    <w:p w:rsidR="00CB24B2" w:rsidRPr="00CB24B2" w:rsidRDefault="00CB24B2" w:rsidP="0067135F">
      <w:pPr>
        <w:pStyle w:val="Default"/>
        <w:jc w:val="center"/>
        <w:rPr>
          <w:rFonts w:ascii="Times New Roman" w:hAnsi="Times New Roman" w:cs="Times New Roman"/>
          <w:b/>
          <w:bCs/>
          <w:sz w:val="36"/>
          <w:szCs w:val="36"/>
        </w:rPr>
      </w:pPr>
      <w:r w:rsidRPr="00CB24B2">
        <w:rPr>
          <w:rFonts w:ascii="Times New Roman" w:hAnsi="Times New Roman" w:cs="Times New Roman"/>
          <w:b/>
          <w:bCs/>
          <w:sz w:val="36"/>
          <w:szCs w:val="36"/>
        </w:rPr>
        <w:t xml:space="preserve">PARECER N°     , DE 2015 </w:t>
      </w:r>
    </w:p>
    <w:p w:rsidR="00BD1CC8" w:rsidRDefault="00BD1CC8" w:rsidP="0067135F">
      <w:pPr>
        <w:pStyle w:val="Default"/>
        <w:jc w:val="center"/>
        <w:rPr>
          <w:rFonts w:ascii="Times New Roman" w:hAnsi="Times New Roman" w:cs="Times New Roman"/>
          <w:sz w:val="28"/>
          <w:szCs w:val="28"/>
        </w:rPr>
      </w:pPr>
    </w:p>
    <w:p w:rsidR="00C72AB6" w:rsidRPr="0067135F" w:rsidRDefault="00C72AB6" w:rsidP="0067135F">
      <w:pPr>
        <w:pStyle w:val="Default"/>
        <w:jc w:val="center"/>
        <w:rPr>
          <w:rFonts w:ascii="Times New Roman" w:hAnsi="Times New Roman" w:cs="Times New Roman"/>
          <w:sz w:val="28"/>
          <w:szCs w:val="28"/>
        </w:rPr>
      </w:pPr>
    </w:p>
    <w:p w:rsidR="002C53FF" w:rsidRPr="0067135F" w:rsidRDefault="002C53FF" w:rsidP="0067135F">
      <w:pPr>
        <w:pStyle w:val="Default"/>
        <w:jc w:val="center"/>
        <w:rPr>
          <w:rFonts w:ascii="Times New Roman" w:hAnsi="Times New Roman" w:cs="Times New Roman"/>
          <w:sz w:val="28"/>
          <w:szCs w:val="28"/>
        </w:rPr>
      </w:pPr>
    </w:p>
    <w:p w:rsidR="00BD1CC8" w:rsidRPr="0067135F" w:rsidRDefault="00CB24B2" w:rsidP="00CB24B2">
      <w:pPr>
        <w:pStyle w:val="Default"/>
        <w:ind w:left="4230"/>
        <w:jc w:val="both"/>
        <w:rPr>
          <w:rFonts w:ascii="Times New Roman" w:hAnsi="Times New Roman" w:cs="Times New Roman"/>
          <w:sz w:val="28"/>
          <w:szCs w:val="28"/>
        </w:rPr>
      </w:pPr>
      <w:r>
        <w:rPr>
          <w:rFonts w:ascii="Times New Roman" w:hAnsi="Times New Roman" w:cs="Times New Roman"/>
          <w:sz w:val="28"/>
          <w:szCs w:val="28"/>
        </w:rPr>
        <w:t>Da COMISSÃO MISTA, sobre a Medida Provisória (MPV) n° 663, de 19 de dezembro de 2014, que a</w:t>
      </w:r>
      <w:r w:rsidR="002C53FF" w:rsidRPr="0067135F">
        <w:rPr>
          <w:rFonts w:ascii="Times New Roman" w:hAnsi="Times New Roman" w:cs="Times New Roman"/>
          <w:sz w:val="28"/>
          <w:szCs w:val="28"/>
        </w:rPr>
        <w:t>ltera a Lei nº 12.096, de 24 de novembro de 2009</w:t>
      </w:r>
      <w:r>
        <w:rPr>
          <w:rFonts w:ascii="Times New Roman" w:hAnsi="Times New Roman" w:cs="Times New Roman"/>
          <w:sz w:val="28"/>
          <w:szCs w:val="28"/>
        </w:rPr>
        <w:t>.</w:t>
      </w:r>
    </w:p>
    <w:p w:rsidR="00BD1CC8" w:rsidRPr="0067135F" w:rsidRDefault="00BD1CC8" w:rsidP="0067135F">
      <w:pPr>
        <w:pStyle w:val="Default"/>
        <w:ind w:left="3402"/>
        <w:jc w:val="both"/>
        <w:rPr>
          <w:rFonts w:ascii="Times New Roman" w:hAnsi="Times New Roman" w:cs="Times New Roman"/>
          <w:sz w:val="28"/>
          <w:szCs w:val="28"/>
        </w:rPr>
      </w:pPr>
    </w:p>
    <w:p w:rsidR="00CB24B2" w:rsidRDefault="00CB24B2" w:rsidP="00CB24B2">
      <w:pPr>
        <w:pStyle w:val="Default"/>
        <w:jc w:val="both"/>
        <w:rPr>
          <w:rFonts w:ascii="Times New Roman" w:hAnsi="Times New Roman" w:cs="Times New Roman"/>
          <w:b/>
          <w:sz w:val="28"/>
          <w:szCs w:val="28"/>
        </w:rPr>
      </w:pPr>
    </w:p>
    <w:p w:rsidR="00BD1CC8" w:rsidRPr="00CB24B2" w:rsidRDefault="00CB24B2" w:rsidP="00CB24B2">
      <w:pPr>
        <w:pStyle w:val="Default"/>
        <w:ind w:firstLine="720"/>
        <w:jc w:val="center"/>
        <w:rPr>
          <w:rFonts w:ascii="Times New Roman" w:hAnsi="Times New Roman" w:cs="Times New Roman"/>
          <w:bCs/>
          <w:sz w:val="32"/>
          <w:szCs w:val="32"/>
        </w:rPr>
      </w:pPr>
      <w:r w:rsidRPr="00CB24B2">
        <w:rPr>
          <w:rFonts w:ascii="Times New Roman" w:hAnsi="Times New Roman" w:cs="Times New Roman"/>
          <w:sz w:val="32"/>
          <w:szCs w:val="32"/>
        </w:rPr>
        <w:t xml:space="preserve">RELATOR: Senador </w:t>
      </w:r>
      <w:r w:rsidRPr="00CB24B2">
        <w:rPr>
          <w:rFonts w:ascii="Times New Roman" w:hAnsi="Times New Roman" w:cs="Times New Roman"/>
          <w:b/>
          <w:sz w:val="32"/>
          <w:szCs w:val="32"/>
        </w:rPr>
        <w:t>ATAÍDES OLIVEIRA</w:t>
      </w:r>
      <w:r w:rsidRPr="00CB24B2">
        <w:rPr>
          <w:rFonts w:ascii="Times New Roman" w:hAnsi="Times New Roman" w:cs="Times New Roman"/>
          <w:sz w:val="32"/>
          <w:szCs w:val="32"/>
        </w:rPr>
        <w:t xml:space="preserve"> </w:t>
      </w:r>
    </w:p>
    <w:p w:rsidR="00BD1CC8" w:rsidRPr="0067135F" w:rsidRDefault="00BD1CC8" w:rsidP="0067135F">
      <w:pPr>
        <w:spacing w:line="240" w:lineRule="auto"/>
        <w:jc w:val="center"/>
        <w:rPr>
          <w:rFonts w:ascii="Times New Roman" w:hAnsi="Times New Roman" w:cs="Times New Roman"/>
          <w:b/>
          <w:bCs/>
          <w:sz w:val="28"/>
          <w:szCs w:val="28"/>
        </w:rPr>
      </w:pPr>
    </w:p>
    <w:p w:rsidR="00BD1CC8" w:rsidRPr="0067135F" w:rsidRDefault="00BD1CC8" w:rsidP="0067135F">
      <w:pPr>
        <w:spacing w:line="240" w:lineRule="auto"/>
        <w:jc w:val="center"/>
        <w:rPr>
          <w:rFonts w:ascii="Times New Roman" w:hAnsi="Times New Roman" w:cs="Times New Roman"/>
          <w:b/>
          <w:bCs/>
          <w:sz w:val="28"/>
          <w:szCs w:val="28"/>
        </w:rPr>
      </w:pPr>
    </w:p>
    <w:p w:rsidR="00BD1CC8" w:rsidRPr="00010352" w:rsidRDefault="00BD1CC8" w:rsidP="0067135F">
      <w:pPr>
        <w:spacing w:line="240" w:lineRule="auto"/>
        <w:jc w:val="both"/>
        <w:rPr>
          <w:rFonts w:ascii="Times New Roman" w:hAnsi="Times New Roman" w:cs="Times New Roman"/>
          <w:b/>
          <w:bCs/>
          <w:sz w:val="32"/>
          <w:szCs w:val="32"/>
        </w:rPr>
      </w:pPr>
      <w:r w:rsidRPr="00010352">
        <w:rPr>
          <w:rFonts w:ascii="Times New Roman" w:hAnsi="Times New Roman" w:cs="Times New Roman"/>
          <w:b/>
          <w:bCs/>
          <w:sz w:val="32"/>
          <w:szCs w:val="32"/>
        </w:rPr>
        <w:t xml:space="preserve">I – RELATÓRIO </w:t>
      </w:r>
    </w:p>
    <w:p w:rsidR="00BD1CC8" w:rsidRDefault="00BD1CC8" w:rsidP="0067135F">
      <w:pPr>
        <w:spacing w:line="240" w:lineRule="auto"/>
        <w:jc w:val="both"/>
        <w:rPr>
          <w:rFonts w:ascii="Times New Roman" w:hAnsi="Times New Roman" w:cs="Times New Roman"/>
          <w:bCs/>
          <w:sz w:val="28"/>
          <w:szCs w:val="28"/>
        </w:rPr>
      </w:pPr>
    </w:p>
    <w:p w:rsidR="007E6F98" w:rsidRPr="00297044" w:rsidRDefault="008B7BD1" w:rsidP="00297044">
      <w:pPr>
        <w:pStyle w:val="PargrafodaLista"/>
        <w:numPr>
          <w:ilvl w:val="0"/>
          <w:numId w:val="4"/>
        </w:numPr>
        <w:spacing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DO </w:t>
      </w:r>
      <w:r w:rsidR="00C22BE0" w:rsidRPr="00297044">
        <w:rPr>
          <w:rFonts w:ascii="Times New Roman" w:hAnsi="Times New Roman" w:cs="Times New Roman"/>
          <w:bCs/>
          <w:i/>
          <w:sz w:val="28"/>
          <w:szCs w:val="28"/>
          <w:u w:val="single"/>
        </w:rPr>
        <w:t xml:space="preserve">SISTEMA </w:t>
      </w:r>
      <w:r w:rsidR="007E6F98" w:rsidRPr="00297044">
        <w:rPr>
          <w:rFonts w:ascii="Times New Roman" w:hAnsi="Times New Roman" w:cs="Times New Roman"/>
          <w:bCs/>
          <w:i/>
          <w:sz w:val="28"/>
          <w:szCs w:val="28"/>
          <w:u w:val="single"/>
        </w:rPr>
        <w:t>BNDES</w:t>
      </w:r>
    </w:p>
    <w:p w:rsidR="00CC54AE" w:rsidRDefault="00EE42FD" w:rsidP="0067135F">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452E0F" w:rsidRDefault="00CC54AE" w:rsidP="00B25C3A">
      <w:pPr>
        <w:ind w:firstLine="1080"/>
        <w:jc w:val="both"/>
        <w:rPr>
          <w:rFonts w:ascii="Times New Roman" w:hAnsi="Times New Roman" w:cs="Times New Roman"/>
          <w:bCs/>
          <w:sz w:val="28"/>
          <w:szCs w:val="28"/>
        </w:rPr>
      </w:pPr>
      <w:r>
        <w:rPr>
          <w:rFonts w:ascii="Times New Roman" w:hAnsi="Times New Roman" w:cs="Times New Roman"/>
          <w:bCs/>
          <w:sz w:val="28"/>
          <w:szCs w:val="28"/>
        </w:rPr>
        <w:t xml:space="preserve">O </w:t>
      </w:r>
      <w:r w:rsidR="00F05ED9">
        <w:rPr>
          <w:rFonts w:ascii="Times New Roman" w:hAnsi="Times New Roman" w:cs="Times New Roman"/>
          <w:bCs/>
          <w:sz w:val="28"/>
          <w:szCs w:val="28"/>
        </w:rPr>
        <w:t>Banco Nacional de Desenvolvimento Econômico e Social, doravante BNDES, é uma empresa pública de propriedade integral da União. A instituição foi fundada em 1952</w:t>
      </w:r>
      <w:r w:rsidR="0047238E">
        <w:rPr>
          <w:rFonts w:ascii="Times New Roman" w:hAnsi="Times New Roman" w:cs="Times New Roman"/>
          <w:bCs/>
          <w:sz w:val="28"/>
          <w:szCs w:val="28"/>
        </w:rPr>
        <w:t xml:space="preserve">, por meio da Lei Federal n° 1628/52, com sede na cidade do Rio de Janeiro. </w:t>
      </w:r>
      <w:r w:rsidR="005844FB">
        <w:rPr>
          <w:rFonts w:ascii="Times New Roman" w:hAnsi="Times New Roman" w:cs="Times New Roman"/>
          <w:bCs/>
          <w:sz w:val="28"/>
          <w:szCs w:val="28"/>
        </w:rPr>
        <w:t xml:space="preserve">A sua estrutura corporativa é formada por um Presidente, Dr. Luciano Coutinho, um Vice-Presidente e </w:t>
      </w:r>
      <w:r w:rsidR="00B63EA5">
        <w:rPr>
          <w:rFonts w:ascii="Times New Roman" w:hAnsi="Times New Roman" w:cs="Times New Roman"/>
          <w:bCs/>
          <w:sz w:val="28"/>
          <w:szCs w:val="28"/>
        </w:rPr>
        <w:t>sete</w:t>
      </w:r>
      <w:r w:rsidR="003F3109">
        <w:rPr>
          <w:rFonts w:ascii="Times New Roman" w:hAnsi="Times New Roman" w:cs="Times New Roman"/>
          <w:bCs/>
          <w:sz w:val="28"/>
          <w:szCs w:val="28"/>
        </w:rPr>
        <w:t xml:space="preserve"> Diretores</w:t>
      </w:r>
      <w:r w:rsidR="00B40C62">
        <w:rPr>
          <w:rFonts w:ascii="Times New Roman" w:hAnsi="Times New Roman" w:cs="Times New Roman"/>
          <w:bCs/>
          <w:sz w:val="28"/>
          <w:szCs w:val="28"/>
        </w:rPr>
        <w:t>.</w:t>
      </w:r>
      <w:r w:rsidR="005844FB">
        <w:rPr>
          <w:rFonts w:ascii="Times New Roman" w:hAnsi="Times New Roman" w:cs="Times New Roman"/>
          <w:bCs/>
          <w:sz w:val="28"/>
          <w:szCs w:val="28"/>
        </w:rPr>
        <w:t xml:space="preserve"> </w:t>
      </w:r>
      <w:r w:rsidR="0047238E">
        <w:rPr>
          <w:rFonts w:ascii="Times New Roman" w:hAnsi="Times New Roman" w:cs="Times New Roman"/>
          <w:bCs/>
          <w:sz w:val="28"/>
          <w:szCs w:val="28"/>
        </w:rPr>
        <w:t xml:space="preserve">A principal missão do Banco é a de </w:t>
      </w:r>
      <w:r w:rsidR="00F05ED9" w:rsidRPr="00F05ED9">
        <w:rPr>
          <w:rFonts w:ascii="Times New Roman" w:hAnsi="Times New Roman" w:cs="Times New Roman"/>
          <w:bCs/>
          <w:i/>
          <w:sz w:val="28"/>
          <w:szCs w:val="28"/>
        </w:rPr>
        <w:t>“</w:t>
      </w:r>
      <w:r w:rsidR="00FA5E81">
        <w:rPr>
          <w:rFonts w:ascii="Times New Roman" w:hAnsi="Times New Roman" w:cs="Times New Roman"/>
          <w:bCs/>
          <w:i/>
          <w:sz w:val="28"/>
          <w:szCs w:val="28"/>
        </w:rPr>
        <w:t>p</w:t>
      </w:r>
      <w:r w:rsidR="00F05ED9" w:rsidRPr="00F05ED9">
        <w:rPr>
          <w:rFonts w:ascii="Times New Roman" w:hAnsi="Times New Roman" w:cs="Times New Roman"/>
          <w:bCs/>
          <w:i/>
          <w:sz w:val="28"/>
          <w:szCs w:val="28"/>
        </w:rPr>
        <w:t>romover o desenvolvimento sustentável e competitivo da economia brasileira, com geração de emprego e redução das desigualdades sociais e regionais”</w:t>
      </w:r>
      <w:r w:rsidR="00F05ED9">
        <w:rPr>
          <w:rFonts w:ascii="Times New Roman" w:hAnsi="Times New Roman" w:cs="Times New Roman"/>
          <w:bCs/>
          <w:sz w:val="28"/>
          <w:szCs w:val="28"/>
        </w:rPr>
        <w:t xml:space="preserve">. </w:t>
      </w:r>
    </w:p>
    <w:p w:rsidR="003E3BC6" w:rsidRDefault="0047238E" w:rsidP="00D07148">
      <w:pPr>
        <w:ind w:firstLine="1080"/>
        <w:jc w:val="both"/>
        <w:rPr>
          <w:rFonts w:ascii="Times New Roman" w:hAnsi="Times New Roman" w:cs="Times New Roman"/>
          <w:bCs/>
          <w:sz w:val="28"/>
          <w:szCs w:val="28"/>
        </w:rPr>
      </w:pPr>
      <w:r>
        <w:rPr>
          <w:rFonts w:ascii="Times New Roman" w:hAnsi="Times New Roman" w:cs="Times New Roman"/>
          <w:bCs/>
          <w:sz w:val="28"/>
          <w:szCs w:val="28"/>
        </w:rPr>
        <w:t>O BNDES possui duas subsidiá</w:t>
      </w:r>
      <w:r w:rsidR="00F71848">
        <w:rPr>
          <w:rFonts w:ascii="Times New Roman" w:hAnsi="Times New Roman" w:cs="Times New Roman"/>
          <w:bCs/>
          <w:sz w:val="28"/>
          <w:szCs w:val="28"/>
        </w:rPr>
        <w:t xml:space="preserve">rias integrais: Agência Especial de Financiamento Industrial (FINAME) e o BNDES Participações S.A. (BNDESPAR). </w:t>
      </w:r>
      <w:r w:rsidR="00452E0F">
        <w:rPr>
          <w:rFonts w:ascii="Times New Roman" w:hAnsi="Times New Roman" w:cs="Times New Roman"/>
          <w:bCs/>
          <w:sz w:val="28"/>
          <w:szCs w:val="28"/>
        </w:rPr>
        <w:t xml:space="preserve">Cada uma dessas empresas tem finalidades específicas, como será descrito abaixo. </w:t>
      </w:r>
      <w:r w:rsidR="003E3BC6">
        <w:rPr>
          <w:rFonts w:ascii="Times New Roman" w:hAnsi="Times New Roman" w:cs="Times New Roman"/>
          <w:bCs/>
          <w:sz w:val="28"/>
          <w:szCs w:val="28"/>
        </w:rPr>
        <w:t xml:space="preserve">Há ainda o BNDES </w:t>
      </w:r>
      <w:proofErr w:type="spellStart"/>
      <w:r w:rsidR="003E3BC6">
        <w:rPr>
          <w:rFonts w:ascii="Times New Roman" w:hAnsi="Times New Roman" w:cs="Times New Roman"/>
          <w:bCs/>
          <w:sz w:val="28"/>
          <w:szCs w:val="28"/>
        </w:rPr>
        <w:t>Publ</w:t>
      </w:r>
      <w:r w:rsidR="00452E0F">
        <w:rPr>
          <w:rFonts w:ascii="Times New Roman" w:hAnsi="Times New Roman" w:cs="Times New Roman"/>
          <w:bCs/>
          <w:sz w:val="28"/>
          <w:szCs w:val="28"/>
        </w:rPr>
        <w:t>ic</w:t>
      </w:r>
      <w:proofErr w:type="spellEnd"/>
      <w:r w:rsidR="00452E0F">
        <w:rPr>
          <w:rFonts w:ascii="Times New Roman" w:hAnsi="Times New Roman" w:cs="Times New Roman"/>
          <w:bCs/>
          <w:sz w:val="28"/>
          <w:szCs w:val="28"/>
        </w:rPr>
        <w:t xml:space="preserve"> </w:t>
      </w:r>
      <w:proofErr w:type="spellStart"/>
      <w:r w:rsidR="00452E0F">
        <w:rPr>
          <w:rFonts w:ascii="Times New Roman" w:hAnsi="Times New Roman" w:cs="Times New Roman"/>
          <w:bCs/>
          <w:sz w:val="28"/>
          <w:szCs w:val="28"/>
        </w:rPr>
        <w:t>Limited</w:t>
      </w:r>
      <w:proofErr w:type="spellEnd"/>
      <w:r w:rsidR="00452E0F">
        <w:rPr>
          <w:rFonts w:ascii="Times New Roman" w:hAnsi="Times New Roman" w:cs="Times New Roman"/>
          <w:bCs/>
          <w:sz w:val="28"/>
          <w:szCs w:val="28"/>
        </w:rPr>
        <w:t xml:space="preserve"> </w:t>
      </w:r>
      <w:proofErr w:type="spellStart"/>
      <w:r w:rsidR="00452E0F">
        <w:rPr>
          <w:rFonts w:ascii="Times New Roman" w:hAnsi="Times New Roman" w:cs="Times New Roman"/>
          <w:bCs/>
          <w:sz w:val="28"/>
          <w:szCs w:val="28"/>
        </w:rPr>
        <w:t>Company</w:t>
      </w:r>
      <w:proofErr w:type="spellEnd"/>
      <w:r w:rsidR="00452E0F">
        <w:rPr>
          <w:rFonts w:ascii="Times New Roman" w:hAnsi="Times New Roman" w:cs="Times New Roman"/>
          <w:bCs/>
          <w:sz w:val="28"/>
          <w:szCs w:val="28"/>
        </w:rPr>
        <w:t xml:space="preserve"> (BNDES PLC), </w:t>
      </w:r>
      <w:r w:rsidR="009F186C">
        <w:rPr>
          <w:rFonts w:ascii="Times New Roman" w:hAnsi="Times New Roman" w:cs="Times New Roman"/>
          <w:bCs/>
          <w:sz w:val="28"/>
          <w:szCs w:val="28"/>
        </w:rPr>
        <w:t xml:space="preserve">fundado em 2009, </w:t>
      </w:r>
      <w:r w:rsidR="00452E0F">
        <w:rPr>
          <w:rFonts w:ascii="Times New Roman" w:hAnsi="Times New Roman" w:cs="Times New Roman"/>
          <w:bCs/>
          <w:sz w:val="28"/>
          <w:szCs w:val="28"/>
        </w:rPr>
        <w:t>que atua</w:t>
      </w:r>
      <w:r w:rsidR="00452E0F" w:rsidRPr="00AD48D7">
        <w:rPr>
          <w:rFonts w:ascii="Times New Roman" w:hAnsi="Times New Roman" w:cs="Times New Roman"/>
          <w:bCs/>
          <w:sz w:val="28"/>
          <w:szCs w:val="28"/>
        </w:rPr>
        <w:t xml:space="preserve"> como uma holding de investimentos, </w:t>
      </w:r>
      <w:r w:rsidR="00452E0F">
        <w:rPr>
          <w:rFonts w:ascii="Times New Roman" w:hAnsi="Times New Roman" w:cs="Times New Roman"/>
          <w:bCs/>
          <w:sz w:val="28"/>
          <w:szCs w:val="28"/>
        </w:rPr>
        <w:t xml:space="preserve">com o fim de viabilizar </w:t>
      </w:r>
      <w:r w:rsidR="00452E0F" w:rsidRPr="00AD48D7">
        <w:rPr>
          <w:rFonts w:ascii="Times New Roman" w:hAnsi="Times New Roman" w:cs="Times New Roman"/>
          <w:bCs/>
          <w:sz w:val="28"/>
          <w:szCs w:val="28"/>
        </w:rPr>
        <w:t>investimentos realizados por empresas brasileiras no exterior.</w:t>
      </w:r>
      <w:r w:rsidR="00452E0F">
        <w:rPr>
          <w:rFonts w:ascii="Times New Roman" w:hAnsi="Times New Roman" w:cs="Times New Roman"/>
          <w:bCs/>
          <w:sz w:val="28"/>
          <w:szCs w:val="28"/>
        </w:rPr>
        <w:t xml:space="preserve"> </w:t>
      </w:r>
      <w:r w:rsidR="003E3BC6">
        <w:rPr>
          <w:rFonts w:ascii="Times New Roman" w:hAnsi="Times New Roman" w:cs="Times New Roman"/>
          <w:bCs/>
          <w:sz w:val="28"/>
          <w:szCs w:val="28"/>
        </w:rPr>
        <w:t>Esse conjunto de empresas é conhecido como Sistema BNDES</w:t>
      </w:r>
      <w:r w:rsidR="009F186C">
        <w:rPr>
          <w:rFonts w:ascii="Times New Roman" w:hAnsi="Times New Roman" w:cs="Times New Roman"/>
          <w:bCs/>
          <w:sz w:val="28"/>
          <w:szCs w:val="28"/>
        </w:rPr>
        <w:t xml:space="preserve">, que conta com 2.857 funcionários (Maio, 2014), e possui escritórios internacionais nas cidades </w:t>
      </w:r>
      <w:r w:rsidR="00091114">
        <w:rPr>
          <w:rFonts w:ascii="Times New Roman" w:hAnsi="Times New Roman" w:cs="Times New Roman"/>
          <w:bCs/>
          <w:sz w:val="28"/>
          <w:szCs w:val="28"/>
        </w:rPr>
        <w:lastRenderedPageBreak/>
        <w:t>de Montevidéu,</w:t>
      </w:r>
      <w:r w:rsidR="009F186C">
        <w:rPr>
          <w:rFonts w:ascii="Times New Roman" w:hAnsi="Times New Roman" w:cs="Times New Roman"/>
          <w:bCs/>
          <w:sz w:val="28"/>
          <w:szCs w:val="28"/>
        </w:rPr>
        <w:t xml:space="preserve"> no Uruguai, </w:t>
      </w:r>
      <w:r w:rsidR="00237978">
        <w:rPr>
          <w:rFonts w:ascii="Times New Roman" w:hAnsi="Times New Roman" w:cs="Times New Roman"/>
          <w:bCs/>
          <w:sz w:val="28"/>
          <w:szCs w:val="28"/>
        </w:rPr>
        <w:t>Johanesburgo</w:t>
      </w:r>
      <w:r w:rsidR="009F186C">
        <w:rPr>
          <w:rFonts w:ascii="Times New Roman" w:hAnsi="Times New Roman" w:cs="Times New Roman"/>
          <w:bCs/>
          <w:sz w:val="28"/>
          <w:szCs w:val="28"/>
        </w:rPr>
        <w:t xml:space="preserve">, </w:t>
      </w:r>
      <w:r w:rsidR="00237978">
        <w:rPr>
          <w:rFonts w:ascii="Times New Roman" w:hAnsi="Times New Roman" w:cs="Times New Roman"/>
          <w:bCs/>
          <w:sz w:val="28"/>
          <w:szCs w:val="28"/>
        </w:rPr>
        <w:t xml:space="preserve">África do Sul, </w:t>
      </w:r>
      <w:r w:rsidR="009F186C">
        <w:rPr>
          <w:rFonts w:ascii="Times New Roman" w:hAnsi="Times New Roman" w:cs="Times New Roman"/>
          <w:bCs/>
          <w:sz w:val="28"/>
          <w:szCs w:val="28"/>
        </w:rPr>
        <w:t>e Londres</w:t>
      </w:r>
      <w:r w:rsidR="00237978">
        <w:rPr>
          <w:rFonts w:ascii="Times New Roman" w:hAnsi="Times New Roman" w:cs="Times New Roman"/>
          <w:bCs/>
          <w:sz w:val="28"/>
          <w:szCs w:val="28"/>
        </w:rPr>
        <w:t xml:space="preserve">, Reino Unido. </w:t>
      </w:r>
    </w:p>
    <w:p w:rsidR="00237978" w:rsidRDefault="00237978" w:rsidP="00B25C3A">
      <w:pPr>
        <w:ind w:firstLine="1080"/>
        <w:jc w:val="both"/>
        <w:rPr>
          <w:rFonts w:ascii="Times New Roman" w:hAnsi="Times New Roman" w:cs="Times New Roman"/>
          <w:bCs/>
          <w:sz w:val="28"/>
          <w:szCs w:val="28"/>
        </w:rPr>
      </w:pPr>
      <w:r>
        <w:rPr>
          <w:rFonts w:ascii="Times New Roman" w:hAnsi="Times New Roman" w:cs="Times New Roman"/>
          <w:bCs/>
          <w:sz w:val="28"/>
          <w:szCs w:val="28"/>
        </w:rPr>
        <w:t xml:space="preserve">Desde a sua fundação, o Banco tem se tornado a principal fonte de crédito de longo prazo no país e instrumento indispensável para a implementação das políticas industrial e de infraestrutura no Brasil. Isso se dá por meio de apoio às micro, pequenas e médias empresas e pelo foco no investimento produtivo. Ademais, nos últimos anos, foram intensificados o apoio às exportações de produtos e serviços nacionais, bem como o suporte à internacionalização das empresas brasileiras que almejam expandir suas operações no exterior. No último Balanço Patrimonial de 31 de dezembro de 2014, os Ativos alcançaram o valor total de </w:t>
      </w:r>
      <w:r w:rsidRPr="005844FB">
        <w:rPr>
          <w:rFonts w:ascii="Times New Roman" w:hAnsi="Times New Roman" w:cs="Times New Roman"/>
          <w:bCs/>
          <w:sz w:val="28"/>
          <w:szCs w:val="28"/>
        </w:rPr>
        <w:t xml:space="preserve">R$ </w:t>
      </w:r>
      <w:r w:rsidR="00681C3A">
        <w:rPr>
          <w:rFonts w:ascii="Times New Roman" w:hAnsi="Times New Roman" w:cs="Times New Roman"/>
          <w:bCs/>
          <w:sz w:val="28"/>
          <w:szCs w:val="28"/>
        </w:rPr>
        <w:t>877</w:t>
      </w:r>
      <w:r w:rsidRPr="005844FB">
        <w:rPr>
          <w:rFonts w:ascii="Times New Roman" w:hAnsi="Times New Roman" w:cs="Times New Roman"/>
          <w:bCs/>
          <w:sz w:val="28"/>
          <w:szCs w:val="28"/>
        </w:rPr>
        <w:t>.</w:t>
      </w:r>
      <w:r w:rsidR="00681C3A">
        <w:rPr>
          <w:rFonts w:ascii="Times New Roman" w:hAnsi="Times New Roman" w:cs="Times New Roman"/>
          <w:bCs/>
          <w:sz w:val="28"/>
          <w:szCs w:val="28"/>
        </w:rPr>
        <w:t xml:space="preserve">219 bilhões </w:t>
      </w:r>
      <w:r>
        <w:rPr>
          <w:rFonts w:ascii="Times New Roman" w:hAnsi="Times New Roman" w:cs="Times New Roman"/>
          <w:bCs/>
          <w:sz w:val="28"/>
          <w:szCs w:val="28"/>
        </w:rPr>
        <w:t xml:space="preserve">e </w:t>
      </w:r>
      <w:r w:rsidR="00273276">
        <w:rPr>
          <w:rFonts w:ascii="Times New Roman" w:hAnsi="Times New Roman" w:cs="Times New Roman"/>
          <w:bCs/>
          <w:sz w:val="28"/>
          <w:szCs w:val="28"/>
        </w:rPr>
        <w:t xml:space="preserve">Patrimônio Líquido de R$ 66.276 bilhões. </w:t>
      </w:r>
      <w:r>
        <w:rPr>
          <w:rFonts w:ascii="Times New Roman" w:hAnsi="Times New Roman" w:cs="Times New Roman"/>
          <w:bCs/>
          <w:sz w:val="28"/>
          <w:szCs w:val="28"/>
        </w:rPr>
        <w:t xml:space="preserve"> </w:t>
      </w:r>
    </w:p>
    <w:p w:rsidR="003E3BC6" w:rsidRDefault="00452E0F" w:rsidP="00B25C3A">
      <w:pPr>
        <w:ind w:firstLine="1080"/>
        <w:jc w:val="both"/>
        <w:rPr>
          <w:rFonts w:ascii="Times New Roman" w:hAnsi="Times New Roman" w:cs="Times New Roman"/>
          <w:bCs/>
          <w:sz w:val="28"/>
          <w:szCs w:val="28"/>
        </w:rPr>
      </w:pPr>
      <w:r>
        <w:rPr>
          <w:rFonts w:ascii="Times New Roman" w:hAnsi="Times New Roman" w:cs="Times New Roman"/>
          <w:bCs/>
          <w:sz w:val="28"/>
          <w:szCs w:val="28"/>
        </w:rPr>
        <w:t>O FINAME, constituído</w:t>
      </w:r>
      <w:r w:rsidR="003E3BC6">
        <w:rPr>
          <w:rFonts w:ascii="Times New Roman" w:hAnsi="Times New Roman" w:cs="Times New Roman"/>
          <w:bCs/>
          <w:sz w:val="28"/>
          <w:szCs w:val="28"/>
        </w:rPr>
        <w:t xml:space="preserve"> em 1966</w:t>
      </w:r>
      <w:r>
        <w:rPr>
          <w:rFonts w:ascii="Times New Roman" w:hAnsi="Times New Roman" w:cs="Times New Roman"/>
          <w:bCs/>
          <w:sz w:val="28"/>
          <w:szCs w:val="28"/>
        </w:rPr>
        <w:t>, iniciou suas atividades com os seguintes objetivos</w:t>
      </w:r>
      <w:r w:rsidR="003E3BC6">
        <w:rPr>
          <w:rFonts w:ascii="Times New Roman" w:hAnsi="Times New Roman" w:cs="Times New Roman"/>
          <w:bCs/>
          <w:sz w:val="28"/>
          <w:szCs w:val="28"/>
        </w:rPr>
        <w:t>: (i) atender</w:t>
      </w:r>
      <w:r w:rsidR="003E3BC6" w:rsidRPr="003E3BC6">
        <w:rPr>
          <w:rFonts w:ascii="Times New Roman" w:hAnsi="Times New Roman" w:cs="Times New Roman"/>
          <w:bCs/>
          <w:sz w:val="28"/>
          <w:szCs w:val="28"/>
        </w:rPr>
        <w:t xml:space="preserve"> às exigências financeiras da crescente comercialização de máquinas e equipamentos fabricados no país; </w:t>
      </w:r>
      <w:r w:rsidR="003E3BC6">
        <w:rPr>
          <w:rFonts w:ascii="Times New Roman" w:hAnsi="Times New Roman" w:cs="Times New Roman"/>
          <w:bCs/>
          <w:sz w:val="28"/>
          <w:szCs w:val="28"/>
        </w:rPr>
        <w:t xml:space="preserve">(ii) </w:t>
      </w:r>
      <w:r w:rsidR="003E3BC6" w:rsidRPr="003E3BC6">
        <w:rPr>
          <w:rFonts w:ascii="Times New Roman" w:hAnsi="Times New Roman" w:cs="Times New Roman"/>
          <w:bCs/>
          <w:sz w:val="28"/>
          <w:szCs w:val="28"/>
        </w:rPr>
        <w:t xml:space="preserve">concorrer para a expansão da produção nacional de máquinas e equipamentos, mediante facilidade de crédito aos respectivos produtores e aos usuários; </w:t>
      </w:r>
      <w:r w:rsidR="003E3BC6">
        <w:rPr>
          <w:rFonts w:ascii="Times New Roman" w:hAnsi="Times New Roman" w:cs="Times New Roman"/>
          <w:bCs/>
          <w:sz w:val="28"/>
          <w:szCs w:val="28"/>
        </w:rPr>
        <w:t xml:space="preserve">(iii) </w:t>
      </w:r>
      <w:r w:rsidR="003E3BC6" w:rsidRPr="003E3BC6">
        <w:rPr>
          <w:rFonts w:ascii="Times New Roman" w:hAnsi="Times New Roman" w:cs="Times New Roman"/>
          <w:bCs/>
          <w:sz w:val="28"/>
          <w:szCs w:val="28"/>
        </w:rPr>
        <w:t xml:space="preserve">financiar a importação de máquinas e equipamentos industriais não produzidos no país; e </w:t>
      </w:r>
      <w:r w:rsidR="003E3BC6">
        <w:rPr>
          <w:rFonts w:ascii="Times New Roman" w:hAnsi="Times New Roman" w:cs="Times New Roman"/>
          <w:bCs/>
          <w:sz w:val="28"/>
          <w:szCs w:val="28"/>
        </w:rPr>
        <w:t xml:space="preserve">(iv) </w:t>
      </w:r>
      <w:r w:rsidR="003E3BC6" w:rsidRPr="003E3BC6">
        <w:rPr>
          <w:rFonts w:ascii="Times New Roman" w:hAnsi="Times New Roman" w:cs="Times New Roman"/>
          <w:bCs/>
          <w:sz w:val="28"/>
          <w:szCs w:val="28"/>
        </w:rPr>
        <w:t>financiar e fomentar a exportação de máquinas e equipamentos industriais de fabricação brasileira.</w:t>
      </w:r>
      <w:r w:rsidR="005844FB">
        <w:rPr>
          <w:rFonts w:ascii="Times New Roman" w:hAnsi="Times New Roman" w:cs="Times New Roman"/>
          <w:bCs/>
          <w:sz w:val="28"/>
          <w:szCs w:val="28"/>
        </w:rPr>
        <w:t xml:space="preserve"> No final de 2014, os ativos do FINAME chegaram a</w:t>
      </w:r>
      <w:r w:rsidR="00FB73D2">
        <w:rPr>
          <w:rFonts w:ascii="Times New Roman" w:hAnsi="Times New Roman" w:cs="Times New Roman"/>
          <w:bCs/>
          <w:sz w:val="28"/>
          <w:szCs w:val="28"/>
        </w:rPr>
        <w:t>o total de</w:t>
      </w:r>
      <w:r w:rsidR="00C46C9A">
        <w:rPr>
          <w:rFonts w:ascii="Times New Roman" w:hAnsi="Times New Roman" w:cs="Times New Roman"/>
          <w:bCs/>
          <w:sz w:val="28"/>
          <w:szCs w:val="28"/>
        </w:rPr>
        <w:t xml:space="preserve"> R$ 193.644.151.000,00. </w:t>
      </w:r>
      <w:r w:rsidR="005844FB">
        <w:rPr>
          <w:rFonts w:ascii="Times New Roman" w:hAnsi="Times New Roman" w:cs="Times New Roman"/>
          <w:bCs/>
          <w:sz w:val="28"/>
          <w:szCs w:val="28"/>
        </w:rPr>
        <w:t xml:space="preserve"> </w:t>
      </w:r>
    </w:p>
    <w:p w:rsidR="00AD48D7" w:rsidRDefault="00AD48D7" w:rsidP="007D6B86">
      <w:pPr>
        <w:widowControl w:val="0"/>
        <w:autoSpaceDE w:val="0"/>
        <w:autoSpaceDN w:val="0"/>
        <w:adjustRightInd w:val="0"/>
        <w:spacing w:after="240"/>
        <w:ind w:firstLine="1080"/>
        <w:jc w:val="both"/>
        <w:rPr>
          <w:rFonts w:ascii="Times New Roman" w:hAnsi="Times New Roman" w:cs="Times New Roman"/>
          <w:bCs/>
          <w:sz w:val="28"/>
          <w:szCs w:val="28"/>
        </w:rPr>
      </w:pPr>
      <w:r>
        <w:rPr>
          <w:rFonts w:ascii="Times New Roman" w:hAnsi="Times New Roman" w:cs="Times New Roman"/>
          <w:bCs/>
          <w:sz w:val="28"/>
          <w:szCs w:val="28"/>
        </w:rPr>
        <w:t>O BNDESPAR, por seu turno, foi constituído em 1982 com a finalidade de incentivar o mercado de capitais brasileiro</w:t>
      </w:r>
      <w:r w:rsidR="00FB73D2">
        <w:rPr>
          <w:rFonts w:ascii="Times New Roman" w:hAnsi="Times New Roman" w:cs="Times New Roman"/>
          <w:bCs/>
          <w:sz w:val="28"/>
          <w:szCs w:val="28"/>
        </w:rPr>
        <w:t xml:space="preserve"> e empresas inovadoras</w:t>
      </w:r>
      <w:r>
        <w:rPr>
          <w:rFonts w:ascii="Times New Roman" w:hAnsi="Times New Roman" w:cs="Times New Roman"/>
          <w:bCs/>
          <w:sz w:val="28"/>
          <w:szCs w:val="28"/>
        </w:rPr>
        <w:t xml:space="preserve">. </w:t>
      </w:r>
      <w:r w:rsidR="005844FB">
        <w:rPr>
          <w:rFonts w:ascii="Times New Roman" w:hAnsi="Times New Roman" w:cs="Times New Roman"/>
          <w:bCs/>
          <w:sz w:val="28"/>
          <w:szCs w:val="28"/>
        </w:rPr>
        <w:t xml:space="preserve">Atualmente, os seus ativos alcançam a cifra de R$ </w:t>
      </w:r>
      <w:r w:rsidR="005844FB" w:rsidRPr="005844FB">
        <w:rPr>
          <w:rFonts w:ascii="Times New Roman" w:hAnsi="Times New Roman" w:cs="Times New Roman"/>
          <w:bCs/>
          <w:sz w:val="28"/>
          <w:szCs w:val="28"/>
        </w:rPr>
        <w:t>77.169.188.000</w:t>
      </w:r>
      <w:r w:rsidR="00C46C9A">
        <w:rPr>
          <w:rFonts w:ascii="Times New Roman" w:hAnsi="Times New Roman" w:cs="Times New Roman"/>
          <w:bCs/>
          <w:sz w:val="28"/>
          <w:szCs w:val="28"/>
        </w:rPr>
        <w:t>,00</w:t>
      </w:r>
      <w:r w:rsidR="005844FB">
        <w:rPr>
          <w:rFonts w:ascii="Times New Roman" w:hAnsi="Times New Roman" w:cs="Times New Roman"/>
          <w:bCs/>
          <w:sz w:val="28"/>
          <w:szCs w:val="28"/>
        </w:rPr>
        <w:t>. Essa subsidiária passou a ter relevância crescente nos último</w:t>
      </w:r>
      <w:r w:rsidR="00091114">
        <w:rPr>
          <w:rFonts w:ascii="Times New Roman" w:hAnsi="Times New Roman" w:cs="Times New Roman"/>
          <w:bCs/>
          <w:sz w:val="28"/>
          <w:szCs w:val="28"/>
        </w:rPr>
        <w:t>s</w:t>
      </w:r>
      <w:r w:rsidR="005844FB">
        <w:rPr>
          <w:rFonts w:ascii="Times New Roman" w:hAnsi="Times New Roman" w:cs="Times New Roman"/>
          <w:bCs/>
          <w:sz w:val="28"/>
          <w:szCs w:val="28"/>
        </w:rPr>
        <w:t xml:space="preserve"> anos </w:t>
      </w:r>
      <w:r w:rsidR="00091114">
        <w:rPr>
          <w:rFonts w:ascii="Times New Roman" w:hAnsi="Times New Roman" w:cs="Times New Roman"/>
          <w:bCs/>
          <w:sz w:val="28"/>
          <w:szCs w:val="28"/>
        </w:rPr>
        <w:t>por meio de:</w:t>
      </w:r>
      <w:r>
        <w:rPr>
          <w:rFonts w:ascii="Times New Roman" w:hAnsi="Times New Roman" w:cs="Times New Roman"/>
          <w:bCs/>
          <w:sz w:val="28"/>
          <w:szCs w:val="28"/>
        </w:rPr>
        <w:t xml:space="preserve"> (i) realização de</w:t>
      </w:r>
      <w:r w:rsidRPr="00AD48D7">
        <w:rPr>
          <w:rFonts w:ascii="Times New Roman" w:hAnsi="Times New Roman" w:cs="Times New Roman"/>
          <w:bCs/>
          <w:sz w:val="28"/>
          <w:szCs w:val="28"/>
        </w:rPr>
        <w:t xml:space="preserve"> operações visando à capitalização de empreendimentos controlados por grupos privados; </w:t>
      </w:r>
      <w:r>
        <w:rPr>
          <w:rFonts w:ascii="Times New Roman" w:hAnsi="Times New Roman" w:cs="Times New Roman"/>
          <w:bCs/>
          <w:sz w:val="28"/>
          <w:szCs w:val="28"/>
        </w:rPr>
        <w:t>(</w:t>
      </w:r>
      <w:proofErr w:type="gramStart"/>
      <w:r>
        <w:rPr>
          <w:rFonts w:ascii="Times New Roman" w:hAnsi="Times New Roman" w:cs="Times New Roman"/>
          <w:bCs/>
          <w:sz w:val="28"/>
          <w:szCs w:val="28"/>
        </w:rPr>
        <w:t>ii</w:t>
      </w:r>
      <w:proofErr w:type="gramEnd"/>
      <w:r>
        <w:rPr>
          <w:rFonts w:ascii="Times New Roman" w:hAnsi="Times New Roman" w:cs="Times New Roman"/>
          <w:bCs/>
          <w:sz w:val="28"/>
          <w:szCs w:val="28"/>
        </w:rPr>
        <w:t xml:space="preserve">) </w:t>
      </w:r>
      <w:r w:rsidR="005844FB">
        <w:rPr>
          <w:rFonts w:ascii="Times New Roman" w:hAnsi="Times New Roman" w:cs="Times New Roman"/>
          <w:bCs/>
          <w:sz w:val="28"/>
          <w:szCs w:val="28"/>
        </w:rPr>
        <w:t>apoio a</w:t>
      </w:r>
      <w:r w:rsidRPr="00AD48D7">
        <w:rPr>
          <w:rFonts w:ascii="Times New Roman" w:hAnsi="Times New Roman" w:cs="Times New Roman"/>
          <w:bCs/>
          <w:sz w:val="28"/>
          <w:szCs w:val="28"/>
        </w:rPr>
        <w:t xml:space="preserve"> empresas que reúnam condições de eficiência econômica, tecnológica e de gestão; </w:t>
      </w:r>
      <w:r>
        <w:rPr>
          <w:rFonts w:ascii="Times New Roman" w:hAnsi="Times New Roman" w:cs="Times New Roman"/>
          <w:bCs/>
          <w:sz w:val="28"/>
          <w:szCs w:val="28"/>
        </w:rPr>
        <w:t xml:space="preserve">(iii) </w:t>
      </w:r>
      <w:r w:rsidR="005844FB">
        <w:rPr>
          <w:rFonts w:ascii="Times New Roman" w:hAnsi="Times New Roman" w:cs="Times New Roman"/>
          <w:bCs/>
          <w:sz w:val="28"/>
          <w:szCs w:val="28"/>
        </w:rPr>
        <w:t>apoio</w:t>
      </w:r>
      <w:r w:rsidRPr="00AD48D7">
        <w:rPr>
          <w:rFonts w:ascii="Times New Roman" w:hAnsi="Times New Roman" w:cs="Times New Roman"/>
          <w:bCs/>
          <w:sz w:val="28"/>
          <w:szCs w:val="28"/>
        </w:rPr>
        <w:t xml:space="preserve"> </w:t>
      </w:r>
      <w:r w:rsidR="00FB73D2">
        <w:rPr>
          <w:rFonts w:ascii="Times New Roman" w:hAnsi="Times New Roman" w:cs="Times New Roman"/>
          <w:bCs/>
          <w:sz w:val="28"/>
          <w:szCs w:val="28"/>
        </w:rPr>
        <w:t>a</w:t>
      </w:r>
      <w:r w:rsidRPr="00AD48D7">
        <w:rPr>
          <w:rFonts w:ascii="Times New Roman" w:hAnsi="Times New Roman" w:cs="Times New Roman"/>
          <w:bCs/>
          <w:sz w:val="28"/>
          <w:szCs w:val="28"/>
        </w:rPr>
        <w:t xml:space="preserve">o desenvolvimento de novos empreendimentos; </w:t>
      </w:r>
      <w:r>
        <w:rPr>
          <w:rFonts w:ascii="Times New Roman" w:hAnsi="Times New Roman" w:cs="Times New Roman"/>
          <w:bCs/>
          <w:sz w:val="28"/>
          <w:szCs w:val="28"/>
        </w:rPr>
        <w:t xml:space="preserve">(iv) </w:t>
      </w:r>
      <w:r w:rsidR="005844FB">
        <w:rPr>
          <w:rFonts w:ascii="Times New Roman" w:hAnsi="Times New Roman" w:cs="Times New Roman"/>
          <w:bCs/>
          <w:sz w:val="28"/>
          <w:szCs w:val="28"/>
        </w:rPr>
        <w:t>contribuição</w:t>
      </w:r>
      <w:r w:rsidRPr="00AD48D7">
        <w:rPr>
          <w:rFonts w:ascii="Times New Roman" w:hAnsi="Times New Roman" w:cs="Times New Roman"/>
          <w:bCs/>
          <w:sz w:val="28"/>
          <w:szCs w:val="28"/>
        </w:rPr>
        <w:t xml:space="preserve"> para o fortalecimento do mercado de capitais e </w:t>
      </w:r>
      <w:r w:rsidR="005844FB">
        <w:rPr>
          <w:rFonts w:ascii="Times New Roman" w:hAnsi="Times New Roman" w:cs="Times New Roman"/>
          <w:bCs/>
          <w:sz w:val="28"/>
          <w:szCs w:val="28"/>
        </w:rPr>
        <w:t>administração de</w:t>
      </w:r>
      <w:r w:rsidRPr="00AD48D7">
        <w:rPr>
          <w:rFonts w:ascii="Times New Roman" w:hAnsi="Times New Roman" w:cs="Times New Roman"/>
          <w:bCs/>
          <w:sz w:val="28"/>
          <w:szCs w:val="28"/>
        </w:rPr>
        <w:t xml:space="preserve"> carteira de valores mobiliários.</w:t>
      </w:r>
    </w:p>
    <w:p w:rsidR="00546F8A" w:rsidRDefault="00237978" w:rsidP="00B25C3A">
      <w:pPr>
        <w:ind w:firstLine="1080"/>
        <w:jc w:val="both"/>
        <w:rPr>
          <w:rFonts w:ascii="Times New Roman" w:hAnsi="Times New Roman" w:cs="Times New Roman"/>
          <w:bCs/>
          <w:sz w:val="28"/>
          <w:szCs w:val="28"/>
        </w:rPr>
      </w:pPr>
      <w:r>
        <w:rPr>
          <w:rFonts w:ascii="Times New Roman" w:hAnsi="Times New Roman" w:cs="Times New Roman"/>
          <w:bCs/>
          <w:sz w:val="28"/>
          <w:szCs w:val="28"/>
        </w:rPr>
        <w:t>O BNDES pode financiar tanto pessoas jurídicas (empresas de agropecuária, indústria, comércio ou serviços, cooperativas, associações civis ou fundações) quanto pessoas físicas (produtor rural, transportador autônomo de cargas e microempreendedor). Além disso, financia também a Administração Pública (municípios, estados e o governo federal). O Banco atua tanto</w:t>
      </w:r>
      <w:r w:rsidR="00FB73D2">
        <w:rPr>
          <w:rFonts w:ascii="Times New Roman" w:hAnsi="Times New Roman" w:cs="Times New Roman"/>
          <w:bCs/>
          <w:sz w:val="28"/>
          <w:szCs w:val="28"/>
        </w:rPr>
        <w:t xml:space="preserve"> por meio </w:t>
      </w:r>
      <w:r w:rsidR="00FB73D2">
        <w:rPr>
          <w:rFonts w:ascii="Times New Roman" w:hAnsi="Times New Roman" w:cs="Times New Roman"/>
          <w:bCs/>
          <w:sz w:val="28"/>
          <w:szCs w:val="28"/>
        </w:rPr>
        <w:lastRenderedPageBreak/>
        <w:t>de operações diretas</w:t>
      </w:r>
      <w:r>
        <w:rPr>
          <w:rFonts w:ascii="Times New Roman" w:hAnsi="Times New Roman" w:cs="Times New Roman"/>
          <w:bCs/>
          <w:sz w:val="28"/>
          <w:szCs w:val="28"/>
        </w:rPr>
        <w:t xml:space="preserve"> quanto indiretas, realizadas por instituições financeiras credenciadas. Dentre as </w:t>
      </w:r>
      <w:r w:rsidR="00FB73D2">
        <w:rPr>
          <w:rFonts w:ascii="Times New Roman" w:hAnsi="Times New Roman" w:cs="Times New Roman"/>
          <w:bCs/>
          <w:sz w:val="28"/>
          <w:szCs w:val="28"/>
        </w:rPr>
        <w:t>operações diretas</w:t>
      </w:r>
      <w:r w:rsidR="00B63EA5">
        <w:rPr>
          <w:rFonts w:ascii="Times New Roman" w:hAnsi="Times New Roman" w:cs="Times New Roman"/>
          <w:bCs/>
          <w:sz w:val="28"/>
          <w:szCs w:val="28"/>
        </w:rPr>
        <w:t xml:space="preserve">, </w:t>
      </w:r>
      <w:r w:rsidR="00FB73D2">
        <w:rPr>
          <w:rFonts w:ascii="Times New Roman" w:hAnsi="Times New Roman" w:cs="Times New Roman"/>
          <w:bCs/>
          <w:sz w:val="28"/>
          <w:szCs w:val="28"/>
        </w:rPr>
        <w:t>destacam-se o</w:t>
      </w:r>
      <w:r w:rsidR="00CD19A7">
        <w:rPr>
          <w:rFonts w:ascii="Times New Roman" w:hAnsi="Times New Roman" w:cs="Times New Roman"/>
          <w:bCs/>
          <w:sz w:val="28"/>
          <w:szCs w:val="28"/>
        </w:rPr>
        <w:t xml:space="preserve"> financiamento a construção de hidroelétricas, plataformas, indústria e e</w:t>
      </w:r>
      <w:r w:rsidR="00FB73D2">
        <w:rPr>
          <w:rFonts w:ascii="Times New Roman" w:hAnsi="Times New Roman" w:cs="Times New Roman"/>
          <w:bCs/>
          <w:sz w:val="28"/>
          <w:szCs w:val="28"/>
        </w:rPr>
        <w:t>stádios esportivos.  As operações indiretas</w:t>
      </w:r>
      <w:r w:rsidR="00B63EA5">
        <w:rPr>
          <w:rFonts w:ascii="Times New Roman" w:hAnsi="Times New Roman" w:cs="Times New Roman"/>
          <w:bCs/>
          <w:sz w:val="28"/>
          <w:szCs w:val="28"/>
        </w:rPr>
        <w:t xml:space="preserve"> </w:t>
      </w:r>
      <w:r w:rsidR="00FB73D2">
        <w:rPr>
          <w:rFonts w:ascii="Times New Roman" w:hAnsi="Times New Roman" w:cs="Times New Roman"/>
          <w:bCs/>
          <w:sz w:val="28"/>
          <w:szCs w:val="28"/>
        </w:rPr>
        <w:t>incluem: construção civil, aquisição de veículos, de máquinas e equipamentos industriais e agrícolas, bem como auxílio a exportações. As operações diretas respondem por aproximadamente 40%, enquanto as indiretas alcançam 60% do total.</w:t>
      </w:r>
    </w:p>
    <w:p w:rsidR="00546F8A" w:rsidRDefault="00C758F8" w:rsidP="00B25C3A">
      <w:pPr>
        <w:ind w:firstLine="1080"/>
        <w:jc w:val="both"/>
        <w:rPr>
          <w:rFonts w:ascii="Times New Roman" w:hAnsi="Times New Roman" w:cs="Times New Roman"/>
          <w:bCs/>
          <w:sz w:val="28"/>
          <w:szCs w:val="28"/>
        </w:rPr>
      </w:pPr>
      <w:r>
        <w:rPr>
          <w:rFonts w:ascii="Times New Roman" w:hAnsi="Times New Roman" w:cs="Times New Roman"/>
          <w:bCs/>
          <w:sz w:val="28"/>
          <w:szCs w:val="28"/>
        </w:rPr>
        <w:t xml:space="preserve">Conforme informações oficiais divulgadas pelo BNDES, a </w:t>
      </w:r>
      <w:r w:rsidR="00546F8A">
        <w:rPr>
          <w:rFonts w:ascii="Times New Roman" w:hAnsi="Times New Roman" w:cs="Times New Roman"/>
          <w:bCs/>
          <w:sz w:val="28"/>
          <w:szCs w:val="28"/>
        </w:rPr>
        <w:t xml:space="preserve">carteira total de crédito totalizou R$ 591,6 bilhões em junho de 2014. No ano passado, </w:t>
      </w:r>
      <w:r w:rsidR="00273276">
        <w:rPr>
          <w:rFonts w:ascii="Times New Roman" w:hAnsi="Times New Roman" w:cs="Times New Roman"/>
          <w:bCs/>
          <w:sz w:val="28"/>
          <w:szCs w:val="28"/>
        </w:rPr>
        <w:t>a instituição desembolsou o valor de R$ 188 bilhões</w:t>
      </w:r>
      <w:r w:rsidR="00546F8A">
        <w:rPr>
          <w:rFonts w:ascii="Times New Roman" w:hAnsi="Times New Roman" w:cs="Times New Roman"/>
          <w:bCs/>
          <w:sz w:val="28"/>
          <w:szCs w:val="28"/>
        </w:rPr>
        <w:t xml:space="preserve"> em financiamentos</w:t>
      </w:r>
      <w:r w:rsidR="00273276">
        <w:rPr>
          <w:rFonts w:ascii="Times New Roman" w:hAnsi="Times New Roman" w:cs="Times New Roman"/>
          <w:bCs/>
          <w:sz w:val="28"/>
          <w:szCs w:val="28"/>
        </w:rPr>
        <w:t>,</w:t>
      </w:r>
      <w:r w:rsidR="00546F8A">
        <w:rPr>
          <w:rFonts w:ascii="Times New Roman" w:hAnsi="Times New Roman" w:cs="Times New Roman"/>
          <w:bCs/>
          <w:sz w:val="28"/>
          <w:szCs w:val="28"/>
        </w:rPr>
        <w:t xml:space="preserve"> </w:t>
      </w:r>
      <w:r w:rsidR="001A49C5">
        <w:rPr>
          <w:rFonts w:ascii="Times New Roman" w:hAnsi="Times New Roman" w:cs="Times New Roman"/>
          <w:bCs/>
          <w:sz w:val="28"/>
          <w:szCs w:val="28"/>
        </w:rPr>
        <w:t>com 48% direcionados às Micro, Pequenas e Médias</w:t>
      </w:r>
      <w:r w:rsidR="00546F8A">
        <w:rPr>
          <w:rFonts w:ascii="Times New Roman" w:hAnsi="Times New Roman" w:cs="Times New Roman"/>
          <w:bCs/>
          <w:sz w:val="28"/>
          <w:szCs w:val="28"/>
        </w:rPr>
        <w:t xml:space="preserve"> Empresas (</w:t>
      </w:r>
      <w:proofErr w:type="spellStart"/>
      <w:r w:rsidR="00546F8A">
        <w:rPr>
          <w:rFonts w:ascii="Times New Roman" w:hAnsi="Times New Roman" w:cs="Times New Roman"/>
          <w:bCs/>
          <w:sz w:val="28"/>
          <w:szCs w:val="28"/>
        </w:rPr>
        <w:t>MPMEs</w:t>
      </w:r>
      <w:proofErr w:type="spellEnd"/>
      <w:r w:rsidR="00546F8A">
        <w:rPr>
          <w:rFonts w:ascii="Times New Roman" w:hAnsi="Times New Roman" w:cs="Times New Roman"/>
          <w:bCs/>
          <w:sz w:val="28"/>
          <w:szCs w:val="28"/>
        </w:rPr>
        <w:t xml:space="preserve">).  Os empréstimos foram </w:t>
      </w:r>
      <w:r w:rsidR="00273276">
        <w:rPr>
          <w:rFonts w:ascii="Times New Roman" w:hAnsi="Times New Roman" w:cs="Times New Roman"/>
          <w:bCs/>
          <w:sz w:val="28"/>
          <w:szCs w:val="28"/>
        </w:rPr>
        <w:t xml:space="preserve">distribuídos </w:t>
      </w:r>
      <w:r w:rsidR="00546F8A">
        <w:rPr>
          <w:rFonts w:ascii="Times New Roman" w:hAnsi="Times New Roman" w:cs="Times New Roman"/>
          <w:bCs/>
          <w:sz w:val="28"/>
          <w:szCs w:val="28"/>
        </w:rPr>
        <w:t xml:space="preserve">por todas as regiões do país da seguinte forma: Norte (7%), Nordeste (13%), Sudeste (48%), Sul (20%) e Centro-Oeste (12%). </w:t>
      </w:r>
      <w:r w:rsidR="00273276">
        <w:rPr>
          <w:rFonts w:ascii="Times New Roman" w:hAnsi="Times New Roman" w:cs="Times New Roman"/>
          <w:bCs/>
          <w:sz w:val="28"/>
          <w:szCs w:val="28"/>
        </w:rPr>
        <w:t>O Banco tem como principais fontes de financiamento o Tesouro Nacional (53,7%), FAT (22,3%), PIS/PASEP (3,8%)</w:t>
      </w:r>
      <w:r w:rsidR="00E6223B">
        <w:rPr>
          <w:rFonts w:ascii="Times New Roman" w:hAnsi="Times New Roman" w:cs="Times New Roman"/>
          <w:bCs/>
          <w:sz w:val="28"/>
          <w:szCs w:val="28"/>
        </w:rPr>
        <w:t>, FGTS/FI-FGTS (1,13%)</w:t>
      </w:r>
      <w:r w:rsidR="00273276">
        <w:rPr>
          <w:rFonts w:ascii="Times New Roman" w:hAnsi="Times New Roman" w:cs="Times New Roman"/>
          <w:bCs/>
          <w:sz w:val="28"/>
          <w:szCs w:val="28"/>
        </w:rPr>
        <w:t xml:space="preserve"> e </w:t>
      </w:r>
      <w:r w:rsidR="00546F8A">
        <w:rPr>
          <w:rFonts w:ascii="Times New Roman" w:hAnsi="Times New Roman" w:cs="Times New Roman"/>
          <w:bCs/>
          <w:sz w:val="28"/>
          <w:szCs w:val="28"/>
        </w:rPr>
        <w:t xml:space="preserve">Recursos do Exterior (4,6%). O </w:t>
      </w:r>
      <w:r>
        <w:rPr>
          <w:rFonts w:ascii="Times New Roman" w:hAnsi="Times New Roman" w:cs="Times New Roman"/>
          <w:bCs/>
          <w:sz w:val="28"/>
          <w:szCs w:val="28"/>
        </w:rPr>
        <w:t xml:space="preserve">Banco </w:t>
      </w:r>
      <w:r w:rsidR="00B40C62">
        <w:rPr>
          <w:rFonts w:ascii="Times New Roman" w:hAnsi="Times New Roman" w:cs="Times New Roman"/>
          <w:bCs/>
          <w:sz w:val="28"/>
          <w:szCs w:val="28"/>
        </w:rPr>
        <w:t xml:space="preserve">registrou lucro </w:t>
      </w:r>
      <w:r w:rsidR="009E46DF">
        <w:rPr>
          <w:rFonts w:ascii="Times New Roman" w:hAnsi="Times New Roman" w:cs="Times New Roman"/>
          <w:bCs/>
          <w:sz w:val="28"/>
          <w:szCs w:val="28"/>
        </w:rPr>
        <w:t xml:space="preserve">líquido </w:t>
      </w:r>
      <w:r w:rsidR="00B40C62">
        <w:rPr>
          <w:rFonts w:ascii="Times New Roman" w:hAnsi="Times New Roman" w:cs="Times New Roman"/>
          <w:bCs/>
          <w:sz w:val="28"/>
          <w:szCs w:val="28"/>
        </w:rPr>
        <w:t xml:space="preserve">de R$ </w:t>
      </w:r>
      <w:r w:rsidR="009E46DF">
        <w:rPr>
          <w:rFonts w:ascii="Times New Roman" w:hAnsi="Times New Roman" w:cs="Times New Roman"/>
          <w:bCs/>
          <w:sz w:val="28"/>
          <w:szCs w:val="28"/>
        </w:rPr>
        <w:t xml:space="preserve">8,594 bilhões no exercício de 2014. </w:t>
      </w:r>
    </w:p>
    <w:p w:rsidR="007D6B86" w:rsidRDefault="007D6B86" w:rsidP="00D07148">
      <w:pPr>
        <w:ind w:firstLine="1080"/>
        <w:jc w:val="both"/>
        <w:rPr>
          <w:rFonts w:ascii="Times New Roman" w:hAnsi="Times New Roman" w:cs="Times New Roman"/>
          <w:bCs/>
          <w:sz w:val="28"/>
          <w:szCs w:val="28"/>
        </w:rPr>
      </w:pPr>
    </w:p>
    <w:p w:rsidR="00F05ED9" w:rsidRPr="00937D89" w:rsidRDefault="00297044" w:rsidP="00297044">
      <w:pPr>
        <w:pStyle w:val="PargrafodaLista"/>
        <w:numPr>
          <w:ilvl w:val="0"/>
          <w:numId w:val="4"/>
        </w:numPr>
        <w:spacing w:line="240" w:lineRule="auto"/>
        <w:jc w:val="both"/>
        <w:rPr>
          <w:rFonts w:ascii="Times New Roman" w:hAnsi="Times New Roman" w:cs="Times New Roman"/>
          <w:bCs/>
          <w:i/>
          <w:sz w:val="28"/>
          <w:szCs w:val="28"/>
        </w:rPr>
      </w:pPr>
      <w:r w:rsidRPr="00937D89">
        <w:rPr>
          <w:rFonts w:ascii="Times New Roman" w:hAnsi="Times New Roman" w:cs="Times New Roman"/>
          <w:bCs/>
          <w:i/>
          <w:sz w:val="28"/>
          <w:szCs w:val="28"/>
          <w:u w:val="single"/>
        </w:rPr>
        <w:t>DA MEDIDA PROVISÓRIA N° 663 DE 20</w:t>
      </w:r>
      <w:r w:rsidR="00C758F8">
        <w:rPr>
          <w:rFonts w:ascii="Times New Roman" w:hAnsi="Times New Roman" w:cs="Times New Roman"/>
          <w:bCs/>
          <w:i/>
          <w:sz w:val="28"/>
          <w:szCs w:val="28"/>
          <w:u w:val="single"/>
        </w:rPr>
        <w:t>14</w:t>
      </w:r>
    </w:p>
    <w:p w:rsidR="00297044" w:rsidRDefault="00297044" w:rsidP="00297044">
      <w:pPr>
        <w:pStyle w:val="PargrafodaLista"/>
        <w:spacing w:line="240" w:lineRule="auto"/>
        <w:jc w:val="both"/>
        <w:rPr>
          <w:rFonts w:ascii="Times New Roman" w:hAnsi="Times New Roman" w:cs="Times New Roman"/>
          <w:bCs/>
          <w:sz w:val="28"/>
          <w:szCs w:val="28"/>
        </w:rPr>
      </w:pPr>
    </w:p>
    <w:p w:rsidR="007D2CBA" w:rsidRPr="00297044" w:rsidRDefault="007D2CBA" w:rsidP="00297044">
      <w:pPr>
        <w:pStyle w:val="PargrafodaLista"/>
        <w:spacing w:line="240" w:lineRule="auto"/>
        <w:jc w:val="both"/>
        <w:rPr>
          <w:rFonts w:ascii="Times New Roman" w:hAnsi="Times New Roman" w:cs="Times New Roman"/>
          <w:bCs/>
          <w:sz w:val="28"/>
          <w:szCs w:val="28"/>
        </w:rPr>
      </w:pPr>
    </w:p>
    <w:p w:rsidR="00820884" w:rsidRPr="00B25C3A" w:rsidRDefault="008D33B4" w:rsidP="007D6B86">
      <w:pPr>
        <w:pStyle w:val="04-PargrafodetextoEstudoNotas-CLG"/>
        <w:spacing w:before="120" w:after="120" w:line="276" w:lineRule="auto"/>
        <w:ind w:firstLine="990"/>
      </w:pPr>
      <w:r>
        <w:t>A Presidente</w:t>
      </w:r>
      <w:r w:rsidR="00AD262A" w:rsidRPr="0067135F">
        <w:t xml:space="preserve"> da República, no uso da atribuição que lhe confere o art. 62 da Constituição Federal (CF), editou, em 19 de dezembro de 2014, a Medida Provisória nº 663, que </w:t>
      </w:r>
      <w:r w:rsidR="00AD262A" w:rsidRPr="0067135F">
        <w:rPr>
          <w:i/>
        </w:rPr>
        <w:t xml:space="preserve">altera a Lei nº 12.096, de 24 de novembro de 2009. </w:t>
      </w:r>
      <w:r w:rsidR="001B23DE" w:rsidRPr="0067135F">
        <w:t>Este último normativo trata da autorização para que a União possa conceder subvenção econômica, na modalidade de equalizaçã</w:t>
      </w:r>
      <w:r w:rsidR="003F08EA" w:rsidRPr="0067135F">
        <w:t xml:space="preserve">o de taxas de juros, </w:t>
      </w:r>
      <w:r w:rsidR="001B23DE" w:rsidRPr="0067135F">
        <w:t>tanto para o Banco Nacional de Desenvolvimento Econômico (BNDES) quanto para a Financiadora de Estudos e Projetos (FINEP)</w:t>
      </w:r>
      <w:r w:rsidR="003F08EA" w:rsidRPr="0067135F">
        <w:t xml:space="preserve"> em determinadas operações de financiamento. </w:t>
      </w:r>
    </w:p>
    <w:p w:rsidR="00820884" w:rsidRPr="0067135F" w:rsidRDefault="00820884" w:rsidP="007D6B86">
      <w:pPr>
        <w:pStyle w:val="04-PargrafodetextoEstudoNotas-CLG"/>
        <w:spacing w:line="276" w:lineRule="auto"/>
        <w:ind w:firstLine="990"/>
      </w:pPr>
      <w:r w:rsidRPr="0067135F">
        <w:t xml:space="preserve">A Medida Provisória em apreço </w:t>
      </w:r>
      <w:r w:rsidR="003F08EA" w:rsidRPr="0067135F">
        <w:t>alterou</w:t>
      </w:r>
      <w:r w:rsidRPr="0067135F">
        <w:t xml:space="preserve"> o art. 1º da Lei supracitada, de modo a estender por mais um ano (até 31 de dezembro de 2015), o prazo </w:t>
      </w:r>
      <w:r w:rsidR="001B23DE" w:rsidRPr="0067135F">
        <w:t>de autor</w:t>
      </w:r>
      <w:r w:rsidR="008D33B4">
        <w:t xml:space="preserve">ização de subvenção econômica. </w:t>
      </w:r>
      <w:r w:rsidR="003F08EA" w:rsidRPr="0067135F">
        <w:t>Ademais, aumentou</w:t>
      </w:r>
      <w:r w:rsidRPr="0067135F">
        <w:t xml:space="preserve"> o limite do valor total dos financiamentos subvencionados pela União de R$ 402 bilhões para R$ 452 bilhões. O art. 2º traz a cláusula de vigência, que é a data da publicação da MPV.</w:t>
      </w:r>
    </w:p>
    <w:p w:rsidR="00820884" w:rsidRPr="0067135F" w:rsidRDefault="0056697E" w:rsidP="007D6B86">
      <w:pPr>
        <w:ind w:firstLine="990"/>
        <w:jc w:val="both"/>
        <w:rPr>
          <w:rFonts w:ascii="Times New Roman" w:eastAsia="Times New Roman" w:hAnsi="Times New Roman" w:cs="Times New Roman"/>
          <w:sz w:val="28"/>
          <w:szCs w:val="20"/>
          <w:lang w:eastAsia="pt-BR"/>
        </w:rPr>
      </w:pPr>
      <w:r w:rsidRPr="0067135F">
        <w:rPr>
          <w:rFonts w:ascii="Times New Roman" w:eastAsia="Times New Roman" w:hAnsi="Times New Roman" w:cs="Times New Roman"/>
          <w:sz w:val="28"/>
          <w:szCs w:val="20"/>
          <w:lang w:eastAsia="pt-BR"/>
        </w:rPr>
        <w:lastRenderedPageBreak/>
        <w:t xml:space="preserve">Em relação à FINEP, a subvenção econômica que é autorizada, nas operações de financiamento, destina-se exclusivamente para a modalidade de inovação tecnológica. </w:t>
      </w:r>
      <w:r w:rsidR="00820884" w:rsidRPr="0067135F">
        <w:rPr>
          <w:rFonts w:ascii="Times New Roman" w:eastAsia="Times New Roman" w:hAnsi="Times New Roman" w:cs="Times New Roman"/>
          <w:sz w:val="28"/>
          <w:szCs w:val="20"/>
          <w:lang w:eastAsia="pt-BR"/>
        </w:rPr>
        <w:t>Quanto ao BNDES, a subvenção econômica</w:t>
      </w:r>
      <w:r w:rsidR="001B23DE" w:rsidRPr="0067135F">
        <w:rPr>
          <w:rFonts w:ascii="Times New Roman" w:eastAsia="Times New Roman" w:hAnsi="Times New Roman" w:cs="Times New Roman"/>
          <w:sz w:val="28"/>
          <w:szCs w:val="20"/>
          <w:lang w:eastAsia="pt-BR"/>
        </w:rPr>
        <w:t xml:space="preserve"> de que trata a Lei 12.096/09 </w:t>
      </w:r>
      <w:r w:rsidR="00820884" w:rsidRPr="0067135F">
        <w:rPr>
          <w:rFonts w:ascii="Times New Roman" w:eastAsia="Times New Roman" w:hAnsi="Times New Roman" w:cs="Times New Roman"/>
          <w:sz w:val="28"/>
          <w:szCs w:val="20"/>
          <w:lang w:eastAsia="pt-BR"/>
        </w:rPr>
        <w:t>destina-se ao financiamento de operações relativas:</w:t>
      </w:r>
    </w:p>
    <w:p w:rsidR="00820884" w:rsidRPr="0067135F" w:rsidRDefault="003F08EA" w:rsidP="007D6B86">
      <w:pPr>
        <w:pStyle w:val="04-PargrafodetextoEstudoNotas-CLG"/>
        <w:tabs>
          <w:tab w:val="left" w:pos="1755"/>
        </w:tabs>
        <w:spacing w:before="120" w:after="120" w:line="276" w:lineRule="auto"/>
        <w:ind w:firstLine="0"/>
      </w:pPr>
      <w:r w:rsidRPr="0067135F">
        <w:tab/>
      </w:r>
    </w:p>
    <w:p w:rsidR="007E4AB7" w:rsidRPr="0067135F" w:rsidRDefault="00AD262A" w:rsidP="007D6B86">
      <w:pPr>
        <w:ind w:firstLine="708"/>
        <w:jc w:val="both"/>
        <w:rPr>
          <w:rFonts w:ascii="Times New Roman" w:eastAsia="Times New Roman" w:hAnsi="Times New Roman" w:cs="Times New Roman"/>
          <w:sz w:val="28"/>
          <w:szCs w:val="20"/>
          <w:lang w:eastAsia="pt-BR"/>
        </w:rPr>
      </w:pPr>
      <w:r w:rsidRPr="0067135F">
        <w:rPr>
          <w:rFonts w:ascii="Times New Roman" w:eastAsia="Times New Roman" w:hAnsi="Times New Roman" w:cs="Times New Roman"/>
          <w:sz w:val="28"/>
          <w:szCs w:val="20"/>
          <w:lang w:eastAsia="pt-BR"/>
        </w:rPr>
        <w:t>a) à aquisição, produção e arrendamento mercantil de bens de capital, incluídos componentes e serviços tecnológicos relacionados, e o capital de giro associado; à produção de bens de consumo para exportação; ao setor de energia elétrica, a estruturas para exportação de granéis líquidos; a projetos de engenharia; à inovação tecnológica; a projetos de investimento destinados à constituição de capacidade tecnológica e produtiva em setores de alta intensidade de conhecimento e engenharia; a projetos e equipamentos de reciclagem e tratamento ambientalmente adequados de resíduos; e a investimentos no setor de armazenagem nacional de grãos e açúcar; e</w:t>
      </w:r>
    </w:p>
    <w:p w:rsidR="003F08EA" w:rsidRPr="0067135F" w:rsidRDefault="003F08EA" w:rsidP="007D6B86">
      <w:pPr>
        <w:ind w:firstLine="708"/>
        <w:jc w:val="both"/>
        <w:rPr>
          <w:rFonts w:ascii="Times New Roman" w:eastAsia="Times New Roman" w:hAnsi="Times New Roman" w:cs="Times New Roman"/>
          <w:sz w:val="28"/>
          <w:szCs w:val="20"/>
          <w:lang w:eastAsia="pt-BR"/>
        </w:rPr>
      </w:pPr>
    </w:p>
    <w:p w:rsidR="007E4AB7" w:rsidRPr="0067135F" w:rsidRDefault="00AD262A" w:rsidP="007D6B86">
      <w:pPr>
        <w:ind w:firstLine="708"/>
        <w:jc w:val="both"/>
        <w:rPr>
          <w:rFonts w:ascii="Times New Roman" w:eastAsia="Times New Roman" w:hAnsi="Times New Roman" w:cs="Times New Roman"/>
          <w:sz w:val="28"/>
          <w:szCs w:val="20"/>
          <w:lang w:eastAsia="pt-BR"/>
        </w:rPr>
      </w:pPr>
      <w:r w:rsidRPr="0067135F">
        <w:rPr>
          <w:rFonts w:ascii="Times New Roman" w:eastAsia="Times New Roman" w:hAnsi="Times New Roman" w:cs="Times New Roman"/>
          <w:sz w:val="28"/>
          <w:szCs w:val="20"/>
          <w:lang w:eastAsia="pt-BR"/>
        </w:rPr>
        <w:t>b)</w:t>
      </w:r>
      <w:r w:rsidR="007E4AB7" w:rsidRPr="0067135F">
        <w:rPr>
          <w:rFonts w:ascii="Times New Roman" w:eastAsia="Times New Roman" w:hAnsi="Times New Roman" w:cs="Times New Roman"/>
          <w:sz w:val="28"/>
          <w:szCs w:val="20"/>
          <w:lang w:eastAsia="pt-BR"/>
        </w:rPr>
        <w:t xml:space="preserve"> a projetos de infraestrutura logística direcionados a obras rodoviárias e ferroviárias objeto de concessão pelo Governo Federal; e</w:t>
      </w:r>
    </w:p>
    <w:p w:rsidR="007E4AB7" w:rsidRPr="0067135F" w:rsidRDefault="007E4AB7" w:rsidP="007D6B86">
      <w:pPr>
        <w:ind w:firstLine="708"/>
        <w:jc w:val="both"/>
        <w:rPr>
          <w:rFonts w:ascii="Times New Roman" w:hAnsi="Times New Roman" w:cs="Times New Roman"/>
          <w:bCs/>
          <w:sz w:val="28"/>
          <w:szCs w:val="28"/>
        </w:rPr>
      </w:pPr>
    </w:p>
    <w:p w:rsidR="002673DB" w:rsidRPr="0067135F" w:rsidRDefault="002673DB" w:rsidP="007D6B86">
      <w:pPr>
        <w:pStyle w:val="04-PargrafodetextoEstudoNotas-CLG"/>
        <w:spacing w:line="276" w:lineRule="auto"/>
        <w:ind w:firstLine="1080"/>
      </w:pPr>
      <w:r w:rsidRPr="0067135F">
        <w:t>De acordo com a Exposição de Motivos nº 175/2014 MF, que acompanha a matéria em comento, a continuidade e ampliação das medidas de incentivo ao investimento são fundamentais para estimular o aumento da competitividade da indústria brasileira, “de forma a consolidar a recuperação da economia nacional num cenário de ainda presentes incertezas decorrentes da recente crise econômica mundial”.</w:t>
      </w:r>
    </w:p>
    <w:p w:rsidR="00FC397A" w:rsidRPr="0067135F" w:rsidRDefault="00FC397A" w:rsidP="007D6B86">
      <w:pPr>
        <w:ind w:firstLine="1080"/>
        <w:jc w:val="both"/>
        <w:rPr>
          <w:rFonts w:ascii="Times New Roman" w:hAnsi="Times New Roman" w:cs="Times New Roman"/>
          <w:bCs/>
          <w:sz w:val="28"/>
          <w:szCs w:val="28"/>
        </w:rPr>
      </w:pPr>
      <w:r w:rsidRPr="0067135F">
        <w:rPr>
          <w:rFonts w:ascii="Times New Roman" w:hAnsi="Times New Roman" w:cs="Times New Roman"/>
          <w:bCs/>
          <w:sz w:val="28"/>
          <w:szCs w:val="28"/>
        </w:rPr>
        <w:t>À proposição original, nos termos regimentais, for</w:t>
      </w:r>
      <w:r w:rsidR="001663A6" w:rsidRPr="0067135F">
        <w:rPr>
          <w:rFonts w:ascii="Times New Roman" w:hAnsi="Times New Roman" w:cs="Times New Roman"/>
          <w:bCs/>
          <w:sz w:val="28"/>
          <w:szCs w:val="28"/>
        </w:rPr>
        <w:t>am apresentadas 48 emendas, com</w:t>
      </w:r>
      <w:r w:rsidRPr="0067135F">
        <w:rPr>
          <w:rFonts w:ascii="Times New Roman" w:hAnsi="Times New Roman" w:cs="Times New Roman"/>
          <w:bCs/>
          <w:sz w:val="28"/>
          <w:szCs w:val="28"/>
        </w:rPr>
        <w:t xml:space="preserve"> o teor descrito a seguir: </w:t>
      </w:r>
    </w:p>
    <w:p w:rsidR="00FC397A" w:rsidRPr="0067135F" w:rsidRDefault="00FC397A" w:rsidP="0067135F">
      <w:pPr>
        <w:spacing w:line="240" w:lineRule="auto"/>
        <w:ind w:firstLine="708"/>
        <w:jc w:val="both"/>
        <w:rPr>
          <w:rFonts w:ascii="Times New Roman" w:hAnsi="Times New Roman" w:cs="Times New Roman"/>
          <w:bCs/>
          <w:sz w:val="28"/>
          <w:szCs w:val="28"/>
        </w:rPr>
      </w:pPr>
    </w:p>
    <w:tbl>
      <w:tblPr>
        <w:tblStyle w:val="Tabelacomgrade"/>
        <w:tblW w:w="9322" w:type="dxa"/>
        <w:tblLook w:val="04A0"/>
      </w:tblPr>
      <w:tblGrid>
        <w:gridCol w:w="576"/>
        <w:gridCol w:w="2651"/>
        <w:gridCol w:w="6095"/>
      </w:tblGrid>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01</w:t>
            </w:r>
          </w:p>
        </w:tc>
        <w:tc>
          <w:tcPr>
            <w:tcW w:w="2651" w:type="dxa"/>
            <w:vAlign w:val="center"/>
          </w:tcPr>
          <w:p w:rsidR="001363A6" w:rsidRPr="006E0B5A" w:rsidRDefault="00984F07"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Sen. </w:t>
            </w:r>
            <w:r w:rsidR="001363A6" w:rsidRPr="006E0B5A">
              <w:rPr>
                <w:rFonts w:ascii="Times New Roman" w:hAnsi="Times New Roman" w:cs="Times New Roman"/>
                <w:sz w:val="28"/>
                <w:szCs w:val="28"/>
              </w:rPr>
              <w:t>Romero Jucá</w:t>
            </w:r>
          </w:p>
        </w:tc>
        <w:tc>
          <w:tcPr>
            <w:tcW w:w="6095" w:type="dxa"/>
            <w:vAlign w:val="center"/>
          </w:tcPr>
          <w:p w:rsidR="001363A6" w:rsidRPr="006E0B5A" w:rsidRDefault="00020D29" w:rsidP="003677F5">
            <w:pPr>
              <w:spacing w:before="240"/>
              <w:jc w:val="both"/>
              <w:rPr>
                <w:rFonts w:ascii="Times New Roman" w:hAnsi="Times New Roman" w:cs="Times New Roman"/>
                <w:sz w:val="28"/>
                <w:szCs w:val="28"/>
              </w:rPr>
            </w:pPr>
            <w:r>
              <w:rPr>
                <w:rFonts w:ascii="Times New Roman" w:hAnsi="Times New Roman" w:cs="Times New Roman"/>
                <w:sz w:val="28"/>
                <w:szCs w:val="28"/>
              </w:rPr>
              <w:t>Altera a Lei 12.973/</w:t>
            </w:r>
            <w:r w:rsidR="003677F5">
              <w:rPr>
                <w:rFonts w:ascii="Times New Roman" w:hAnsi="Times New Roman" w:cs="Times New Roman"/>
                <w:sz w:val="28"/>
                <w:szCs w:val="28"/>
              </w:rPr>
              <w:t xml:space="preserve">14 para prever a </w:t>
            </w:r>
            <w:r w:rsidR="001363A6" w:rsidRPr="006E0B5A">
              <w:rPr>
                <w:rFonts w:ascii="Times New Roman" w:hAnsi="Times New Roman" w:cs="Times New Roman"/>
                <w:sz w:val="28"/>
                <w:szCs w:val="28"/>
              </w:rPr>
              <w:t>possibilidade de utilização do ágio interno decorrente de oper</w:t>
            </w:r>
            <w:r w:rsidR="003677F5">
              <w:rPr>
                <w:rFonts w:ascii="Times New Roman" w:hAnsi="Times New Roman" w:cs="Times New Roman"/>
                <w:sz w:val="28"/>
                <w:szCs w:val="28"/>
              </w:rPr>
              <w:t xml:space="preserve">ações entre partes relacionadas ou </w:t>
            </w:r>
            <w:r w:rsidR="001363A6" w:rsidRPr="006E0B5A">
              <w:rPr>
                <w:rFonts w:ascii="Times New Roman" w:hAnsi="Times New Roman" w:cs="Times New Roman"/>
                <w:sz w:val="28"/>
                <w:szCs w:val="28"/>
              </w:rPr>
              <w:t>dependentes</w:t>
            </w:r>
            <w:r w:rsidR="003677F5">
              <w:rPr>
                <w:rFonts w:ascii="Times New Roman" w:hAnsi="Times New Roman" w:cs="Times New Roman"/>
                <w:sz w:val="28"/>
                <w:szCs w:val="28"/>
              </w:rPr>
              <w:t xml:space="preserve"> nas hipóteses de que trata.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02</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S</w:t>
            </w:r>
            <w:r>
              <w:rPr>
                <w:rFonts w:ascii="Times New Roman" w:hAnsi="Times New Roman" w:cs="Times New Roman"/>
                <w:sz w:val="28"/>
                <w:szCs w:val="28"/>
              </w:rPr>
              <w:t>en</w:t>
            </w:r>
            <w:r w:rsidRPr="006E0B5A">
              <w:rPr>
                <w:rFonts w:ascii="Times New Roman" w:hAnsi="Times New Roman" w:cs="Times New Roman"/>
                <w:sz w:val="28"/>
                <w:szCs w:val="28"/>
              </w:rPr>
              <w:t xml:space="preserve">. Ângela </w:t>
            </w:r>
            <w:r w:rsidR="001363A6" w:rsidRPr="006E0B5A">
              <w:rPr>
                <w:rFonts w:ascii="Times New Roman" w:hAnsi="Times New Roman" w:cs="Times New Roman"/>
                <w:sz w:val="28"/>
                <w:szCs w:val="28"/>
              </w:rPr>
              <w:t>Portela</w:t>
            </w:r>
          </w:p>
        </w:tc>
        <w:tc>
          <w:tcPr>
            <w:tcW w:w="6095" w:type="dxa"/>
            <w:vAlign w:val="center"/>
          </w:tcPr>
          <w:p w:rsidR="001363A6" w:rsidRPr="006E0B5A" w:rsidRDefault="003677F5" w:rsidP="0067135F">
            <w:pPr>
              <w:spacing w:before="240"/>
              <w:jc w:val="both"/>
              <w:rPr>
                <w:rFonts w:ascii="Times New Roman" w:hAnsi="Times New Roman" w:cs="Times New Roman"/>
                <w:sz w:val="28"/>
                <w:szCs w:val="28"/>
              </w:rPr>
            </w:pPr>
            <w:r>
              <w:rPr>
                <w:rFonts w:ascii="Times New Roman" w:hAnsi="Times New Roman" w:cs="Times New Roman"/>
                <w:sz w:val="28"/>
                <w:szCs w:val="28"/>
              </w:rPr>
              <w:t>Facilita</w:t>
            </w:r>
            <w:r w:rsidR="001363A6" w:rsidRPr="006E0B5A">
              <w:rPr>
                <w:rFonts w:ascii="Times New Roman" w:hAnsi="Times New Roman" w:cs="Times New Roman"/>
                <w:sz w:val="28"/>
                <w:szCs w:val="28"/>
              </w:rPr>
              <w:t xml:space="preserve"> o processo de renovação de outorga de </w:t>
            </w:r>
            <w:r w:rsidR="001363A6" w:rsidRPr="006E0B5A">
              <w:rPr>
                <w:rFonts w:ascii="Times New Roman" w:hAnsi="Times New Roman" w:cs="Times New Roman"/>
                <w:sz w:val="28"/>
                <w:szCs w:val="28"/>
              </w:rPr>
              <w:lastRenderedPageBreak/>
              <w:t>serviços de rádio difusão, garantindo a possibilidade de apresentação do pedido dois anos antes do vencimento e assegurando prazo de sessenta dias para que as empresas apresentem novos pedidos, entre outras medidas.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03</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Dep. </w:t>
            </w:r>
            <w:r w:rsidR="001363A6" w:rsidRPr="006E0B5A">
              <w:rPr>
                <w:rFonts w:ascii="Times New Roman" w:hAnsi="Times New Roman" w:cs="Times New Roman"/>
                <w:sz w:val="28"/>
                <w:szCs w:val="28"/>
              </w:rPr>
              <w:t>Ricardo Izar</w:t>
            </w:r>
          </w:p>
        </w:tc>
        <w:tc>
          <w:tcPr>
            <w:tcW w:w="6095" w:type="dxa"/>
            <w:vAlign w:val="center"/>
          </w:tcPr>
          <w:p w:rsidR="001363A6" w:rsidRPr="006E0B5A" w:rsidRDefault="003677F5" w:rsidP="00020D29">
            <w:pPr>
              <w:spacing w:before="240"/>
              <w:jc w:val="both"/>
              <w:rPr>
                <w:rFonts w:ascii="Times New Roman" w:hAnsi="Times New Roman" w:cs="Times New Roman"/>
                <w:sz w:val="28"/>
                <w:szCs w:val="28"/>
              </w:rPr>
            </w:pPr>
            <w:r>
              <w:rPr>
                <w:rFonts w:ascii="Times New Roman" w:hAnsi="Times New Roman" w:cs="Times New Roman"/>
                <w:sz w:val="28"/>
                <w:szCs w:val="28"/>
              </w:rPr>
              <w:t xml:space="preserve">Altera </w:t>
            </w:r>
            <w:r w:rsidR="00020D29">
              <w:rPr>
                <w:rFonts w:ascii="Times New Roman" w:hAnsi="Times New Roman" w:cs="Times New Roman"/>
                <w:sz w:val="28"/>
                <w:szCs w:val="28"/>
              </w:rPr>
              <w:t xml:space="preserve">a </w:t>
            </w:r>
            <w:r>
              <w:rPr>
                <w:rFonts w:ascii="Times New Roman" w:hAnsi="Times New Roman" w:cs="Times New Roman"/>
                <w:sz w:val="28"/>
                <w:szCs w:val="28"/>
              </w:rPr>
              <w:t>Lei 12.546/</w:t>
            </w:r>
            <w:r w:rsidR="00020D29">
              <w:rPr>
                <w:rFonts w:ascii="Times New Roman" w:hAnsi="Times New Roman" w:cs="Times New Roman"/>
                <w:sz w:val="28"/>
                <w:szCs w:val="28"/>
              </w:rPr>
              <w:t>11</w:t>
            </w:r>
            <w:r w:rsidR="001363A6" w:rsidRPr="006E0B5A">
              <w:rPr>
                <w:rFonts w:ascii="Times New Roman" w:hAnsi="Times New Roman" w:cs="Times New Roman"/>
                <w:sz w:val="28"/>
                <w:szCs w:val="28"/>
              </w:rPr>
              <w:t xml:space="preserve"> </w:t>
            </w:r>
            <w:r w:rsidR="00020D29">
              <w:rPr>
                <w:rFonts w:ascii="Times New Roman" w:hAnsi="Times New Roman" w:cs="Times New Roman"/>
                <w:sz w:val="28"/>
                <w:szCs w:val="28"/>
              </w:rPr>
              <w:t xml:space="preserve">para </w:t>
            </w:r>
            <w:r w:rsidR="001363A6" w:rsidRPr="006E0B5A">
              <w:rPr>
                <w:rFonts w:ascii="Times New Roman" w:hAnsi="Times New Roman" w:cs="Times New Roman"/>
                <w:sz w:val="28"/>
                <w:szCs w:val="28"/>
              </w:rPr>
              <w:t>adequar o regime de tributação a ser aplicado ao “transporte marítimo de passageiros na navegação por travessia”</w:t>
            </w:r>
            <w:r w:rsidR="00020D29">
              <w:rPr>
                <w:rFonts w:ascii="Times New Roman" w:hAnsi="Times New Roman" w:cs="Times New Roman"/>
                <w:sz w:val="28"/>
                <w:szCs w:val="28"/>
              </w:rPr>
              <w:t>.</w:t>
            </w:r>
          </w:p>
        </w:tc>
      </w:tr>
      <w:tr w:rsidR="001363A6" w:rsidRPr="0067135F" w:rsidTr="000C1231">
        <w:trPr>
          <w:trHeight w:val="2271"/>
        </w:trPr>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04</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Dep. </w:t>
            </w:r>
            <w:r w:rsidR="001363A6" w:rsidRPr="006E0B5A">
              <w:rPr>
                <w:rFonts w:ascii="Times New Roman" w:hAnsi="Times New Roman" w:cs="Times New Roman"/>
                <w:sz w:val="28"/>
                <w:szCs w:val="28"/>
              </w:rPr>
              <w:t>Ricardo Izar</w:t>
            </w:r>
          </w:p>
        </w:tc>
        <w:tc>
          <w:tcPr>
            <w:tcW w:w="6095" w:type="dxa"/>
            <w:vAlign w:val="center"/>
          </w:tcPr>
          <w:p w:rsidR="001363A6" w:rsidRPr="00A5711D" w:rsidRDefault="001363A6" w:rsidP="0067135F">
            <w:pPr>
              <w:pStyle w:val="Default"/>
              <w:jc w:val="both"/>
              <w:rPr>
                <w:rFonts w:ascii="Times New Roman" w:hAnsi="Times New Roman" w:cs="Times New Roman"/>
                <w:color w:val="auto"/>
                <w:sz w:val="28"/>
                <w:szCs w:val="28"/>
              </w:rPr>
            </w:pPr>
          </w:p>
          <w:p w:rsidR="001363A6" w:rsidRPr="006E0B5A" w:rsidRDefault="00F15F78" w:rsidP="0067135F">
            <w:pPr>
              <w:spacing w:before="240"/>
              <w:jc w:val="both"/>
              <w:rPr>
                <w:rFonts w:ascii="Times New Roman" w:hAnsi="Times New Roman" w:cs="Times New Roman"/>
                <w:sz w:val="28"/>
                <w:szCs w:val="28"/>
              </w:rPr>
            </w:pPr>
            <w:r w:rsidRPr="00A5711D">
              <w:rPr>
                <w:rFonts w:ascii="Times New Roman" w:hAnsi="Times New Roman" w:cs="Times New Roman"/>
                <w:sz w:val="28"/>
                <w:szCs w:val="28"/>
              </w:rPr>
              <w:t xml:space="preserve">Altera a Lei 11.079/04 para excluir da base de cálculo da Contribuição Previdenciária sobre a Receita Bruta (CPRB) devida pelas empresas referidas nos </w:t>
            </w:r>
            <w:proofErr w:type="spellStart"/>
            <w:r w:rsidRPr="00A5711D">
              <w:rPr>
                <w:rFonts w:ascii="Times New Roman" w:hAnsi="Times New Roman" w:cs="Times New Roman"/>
                <w:sz w:val="28"/>
                <w:szCs w:val="28"/>
              </w:rPr>
              <w:t>arts</w:t>
            </w:r>
            <w:proofErr w:type="spellEnd"/>
            <w:r w:rsidRPr="00A5711D">
              <w:rPr>
                <w:rFonts w:ascii="Times New Roman" w:hAnsi="Times New Roman" w:cs="Times New Roman"/>
                <w:sz w:val="28"/>
                <w:szCs w:val="28"/>
              </w:rPr>
              <w:t>. 7º e 8º da Lei nº 12.546, de 14 de dezembro de 2011, a partir de 1º de Janeiro de 2015</w:t>
            </w:r>
            <w:r>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05</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Dep. </w:t>
            </w:r>
            <w:r w:rsidR="001363A6" w:rsidRPr="006E0B5A">
              <w:rPr>
                <w:rFonts w:ascii="Times New Roman" w:hAnsi="Times New Roman" w:cs="Times New Roman"/>
                <w:sz w:val="28"/>
                <w:szCs w:val="28"/>
              </w:rPr>
              <w:t>Ricardo Izar</w:t>
            </w:r>
          </w:p>
        </w:tc>
        <w:tc>
          <w:tcPr>
            <w:tcW w:w="6095" w:type="dxa"/>
            <w:vAlign w:val="center"/>
          </w:tcPr>
          <w:p w:rsidR="001363A6" w:rsidRPr="006E0B5A" w:rsidRDefault="00F15F78" w:rsidP="0067135F">
            <w:pPr>
              <w:spacing w:before="240"/>
              <w:jc w:val="both"/>
              <w:rPr>
                <w:rFonts w:ascii="Times New Roman" w:hAnsi="Times New Roman" w:cs="Times New Roman"/>
                <w:sz w:val="28"/>
                <w:szCs w:val="28"/>
              </w:rPr>
            </w:pPr>
            <w:r>
              <w:rPr>
                <w:rFonts w:ascii="Times New Roman" w:hAnsi="Times New Roman" w:cs="Times New Roman"/>
                <w:sz w:val="28"/>
                <w:szCs w:val="28"/>
              </w:rPr>
              <w:t xml:space="preserve">Altera a Lei 11.079/04 para excluir </w:t>
            </w:r>
            <w:r w:rsidRPr="006E0B5A">
              <w:rPr>
                <w:rFonts w:ascii="Times New Roman" w:hAnsi="Times New Roman" w:cs="Times New Roman"/>
                <w:i/>
                <w:iCs/>
                <w:sz w:val="28"/>
                <w:szCs w:val="28"/>
              </w:rPr>
              <w:t xml:space="preserve">da base de cálculo da Contribuição Previdenciária sobre a Receita Bruta (CPRB) devida pelas empresas referidas nos </w:t>
            </w:r>
            <w:proofErr w:type="spellStart"/>
            <w:r w:rsidRPr="006E0B5A">
              <w:rPr>
                <w:rFonts w:ascii="Times New Roman" w:hAnsi="Times New Roman" w:cs="Times New Roman"/>
                <w:i/>
                <w:iCs/>
                <w:sz w:val="28"/>
                <w:szCs w:val="28"/>
              </w:rPr>
              <w:t>arts</w:t>
            </w:r>
            <w:proofErr w:type="spellEnd"/>
            <w:r w:rsidRPr="006E0B5A">
              <w:rPr>
                <w:rFonts w:ascii="Times New Roman" w:hAnsi="Times New Roman" w:cs="Times New Roman"/>
                <w:i/>
                <w:iCs/>
                <w:sz w:val="28"/>
                <w:szCs w:val="28"/>
              </w:rPr>
              <w:t>. 7º e 8º da Lei nº 12.546, de 14 de dezembro de 2011, a partir de 1º de Janeiro de 201</w:t>
            </w:r>
            <w:r>
              <w:rPr>
                <w:rFonts w:ascii="Times New Roman" w:hAnsi="Times New Roman" w:cs="Times New Roman"/>
                <w:i/>
                <w:iCs/>
                <w:sz w:val="28"/>
                <w:szCs w:val="28"/>
              </w:rPr>
              <w:t>.</w:t>
            </w:r>
            <w:r w:rsidRPr="006E0B5A">
              <w:rPr>
                <w:rFonts w:ascii="Times New Roman" w:hAnsi="Times New Roman" w:cs="Times New Roman"/>
                <w:i/>
                <w:iCs/>
                <w:sz w:val="28"/>
                <w:szCs w:val="28"/>
              </w:rPr>
              <w:t>5</w:t>
            </w:r>
            <w:r w:rsidRPr="006E0B5A">
              <w:rPr>
                <w:rFonts w:ascii="Times New Roman" w:hAnsi="Times New Roman" w:cs="Times New Roman"/>
                <w:sz w:val="28"/>
                <w:szCs w:val="28"/>
              </w:rPr>
              <w:t xml:space="preserve"> Caso se admita que venha a haver essa cobrança sobre a parcela dos aportes, ao menos tal cobrança deve se dar de forma diferida, tal como ocorre nos demais casos.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06</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Dep. </w:t>
            </w:r>
            <w:r w:rsidR="001363A6" w:rsidRPr="006E0B5A">
              <w:rPr>
                <w:rFonts w:ascii="Times New Roman" w:hAnsi="Times New Roman" w:cs="Times New Roman"/>
                <w:sz w:val="28"/>
                <w:szCs w:val="28"/>
              </w:rPr>
              <w:t>Ricardo Izar</w:t>
            </w:r>
          </w:p>
        </w:tc>
        <w:tc>
          <w:tcPr>
            <w:tcW w:w="6095" w:type="dxa"/>
            <w:vAlign w:val="center"/>
          </w:tcPr>
          <w:p w:rsidR="001363A6" w:rsidRPr="006E0B5A" w:rsidRDefault="001363A6" w:rsidP="0067135F">
            <w:pPr>
              <w:pStyle w:val="Default"/>
              <w:jc w:val="both"/>
              <w:rPr>
                <w:rFonts w:ascii="Times New Roman" w:hAnsi="Times New Roman" w:cs="Times New Roman"/>
                <w:color w:val="auto"/>
                <w:sz w:val="28"/>
                <w:szCs w:val="28"/>
              </w:rPr>
            </w:pPr>
          </w:p>
          <w:p w:rsidR="001363A6" w:rsidRPr="006E0B5A" w:rsidRDefault="001363A6" w:rsidP="00A5711D">
            <w:pPr>
              <w:pStyle w:val="Default"/>
              <w:jc w:val="both"/>
              <w:rPr>
                <w:rFonts w:ascii="Times New Roman" w:hAnsi="Times New Roman" w:cs="Times New Roman"/>
                <w:sz w:val="28"/>
                <w:szCs w:val="28"/>
              </w:rPr>
            </w:pPr>
            <w:r w:rsidRPr="006E0B5A">
              <w:rPr>
                <w:rFonts w:ascii="Times New Roman" w:hAnsi="Times New Roman" w:cs="Times New Roman"/>
                <w:sz w:val="28"/>
                <w:szCs w:val="28"/>
              </w:rPr>
              <w:t xml:space="preserve">Institui mecanismo </w:t>
            </w:r>
            <w:r w:rsidR="00A5711D">
              <w:rPr>
                <w:rFonts w:ascii="Times New Roman" w:hAnsi="Times New Roman" w:cs="Times New Roman"/>
                <w:sz w:val="28"/>
                <w:szCs w:val="28"/>
              </w:rPr>
              <w:t xml:space="preserve">para estender a possibilidade de utilização dos créditos de prejuízos fiscais e de bases negativas.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07</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Dep. </w:t>
            </w:r>
            <w:r w:rsidR="001363A6" w:rsidRPr="006E0B5A">
              <w:rPr>
                <w:rFonts w:ascii="Times New Roman" w:hAnsi="Times New Roman" w:cs="Times New Roman"/>
                <w:sz w:val="28"/>
                <w:szCs w:val="28"/>
              </w:rPr>
              <w:t>Mendonça Filho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A5711D" w:rsidP="00A5711D">
            <w:pPr>
              <w:pStyle w:val="Default"/>
              <w:jc w:val="both"/>
              <w:rPr>
                <w:rFonts w:ascii="Times New Roman" w:hAnsi="Times New Roman" w:cs="Times New Roman"/>
                <w:sz w:val="28"/>
                <w:szCs w:val="28"/>
              </w:rPr>
            </w:pPr>
            <w:r>
              <w:rPr>
                <w:rFonts w:ascii="Times New Roman" w:hAnsi="Times New Roman" w:cs="Times New Roman"/>
                <w:sz w:val="28"/>
                <w:szCs w:val="28"/>
              </w:rPr>
              <w:t>P</w:t>
            </w:r>
            <w:r w:rsidR="001363A6" w:rsidRPr="006E0B5A">
              <w:rPr>
                <w:rFonts w:ascii="Times New Roman" w:hAnsi="Times New Roman" w:cs="Times New Roman"/>
                <w:sz w:val="28"/>
                <w:szCs w:val="28"/>
              </w:rPr>
              <w:t xml:space="preserve">ropõe fixar prazo menor para que o Tesouro cumpra suas obrigações junto ao BNDES, </w:t>
            </w:r>
            <w:r>
              <w:rPr>
                <w:rFonts w:ascii="Times New Roman" w:hAnsi="Times New Roman" w:cs="Times New Roman"/>
                <w:sz w:val="28"/>
                <w:szCs w:val="28"/>
              </w:rPr>
              <w:t>nas operações de equalizações de juros</w:t>
            </w:r>
            <w:r w:rsidR="001363A6" w:rsidRPr="006E0B5A">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08</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Dep. Mendonça Filho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F15F78" w:rsidP="0067135F">
            <w:pPr>
              <w:pStyle w:val="Default"/>
              <w:jc w:val="both"/>
              <w:rPr>
                <w:rFonts w:ascii="Times New Roman" w:hAnsi="Times New Roman" w:cs="Times New Roman"/>
                <w:sz w:val="28"/>
                <w:szCs w:val="28"/>
              </w:rPr>
            </w:pPr>
            <w:r>
              <w:rPr>
                <w:rFonts w:ascii="Times New Roman" w:hAnsi="Times New Roman" w:cs="Times New Roman"/>
                <w:sz w:val="28"/>
                <w:szCs w:val="28"/>
              </w:rPr>
              <w:t>Propõe excluir da hipótese de sigilo financeiro ou bancário nas</w:t>
            </w:r>
            <w:r w:rsidRPr="006E0B5A">
              <w:rPr>
                <w:rFonts w:ascii="Times New Roman" w:hAnsi="Times New Roman" w:cs="Times New Roman"/>
                <w:sz w:val="28"/>
                <w:szCs w:val="28"/>
              </w:rPr>
              <w:t xml:space="preserve"> operações que tenham como contraparte ou beneficiário estados, Distrito Federal e municípios</w:t>
            </w:r>
            <w:r>
              <w:rPr>
                <w:rFonts w:ascii="Times New Roman" w:hAnsi="Times New Roman" w:cs="Times New Roman"/>
                <w:sz w:val="28"/>
                <w:szCs w:val="28"/>
              </w:rPr>
              <w:t>, além de governos estrangeiros</w:t>
            </w:r>
            <w:r w:rsidRPr="006E0B5A">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09</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Dep. Mendonça Filho</w:t>
            </w:r>
          </w:p>
        </w:tc>
        <w:tc>
          <w:tcPr>
            <w:tcW w:w="6095" w:type="dxa"/>
            <w:vAlign w:val="center"/>
          </w:tcPr>
          <w:p w:rsidR="001363A6" w:rsidRPr="006E0B5A" w:rsidRDefault="001363A6" w:rsidP="0067135F">
            <w:pPr>
              <w:autoSpaceDE w:val="0"/>
              <w:autoSpaceDN w:val="0"/>
              <w:adjustRightInd w:val="0"/>
              <w:jc w:val="both"/>
              <w:rPr>
                <w:rFonts w:ascii="Times New Roman" w:hAnsi="Times New Roman" w:cs="Times New Roman"/>
                <w:color w:val="000000"/>
                <w:sz w:val="28"/>
                <w:szCs w:val="28"/>
              </w:rPr>
            </w:pPr>
          </w:p>
          <w:p w:rsidR="001363A6" w:rsidRPr="006E0B5A" w:rsidRDefault="00F15F78" w:rsidP="0067135F">
            <w:pPr>
              <w:pStyle w:val="Default"/>
              <w:jc w:val="both"/>
              <w:rPr>
                <w:rFonts w:ascii="Times New Roman" w:hAnsi="Times New Roman" w:cs="Times New Roman"/>
                <w:sz w:val="28"/>
                <w:szCs w:val="28"/>
              </w:rPr>
            </w:pPr>
            <w:r>
              <w:rPr>
                <w:rFonts w:ascii="Times New Roman" w:hAnsi="Times New Roman" w:cs="Times New Roman"/>
                <w:sz w:val="28"/>
                <w:szCs w:val="28"/>
              </w:rPr>
              <w:t xml:space="preserve">Destinar, no </w:t>
            </w:r>
            <w:r w:rsidRPr="006E0B5A">
              <w:rPr>
                <w:rFonts w:ascii="Times New Roman" w:hAnsi="Times New Roman" w:cs="Times New Roman"/>
                <w:sz w:val="28"/>
                <w:szCs w:val="28"/>
              </w:rPr>
              <w:t>mínimo</w:t>
            </w:r>
            <w:r>
              <w:rPr>
                <w:rFonts w:ascii="Times New Roman" w:hAnsi="Times New Roman" w:cs="Times New Roman"/>
                <w:sz w:val="28"/>
                <w:szCs w:val="28"/>
              </w:rPr>
              <w:t>,</w:t>
            </w:r>
            <w:r w:rsidRPr="006E0B5A">
              <w:rPr>
                <w:rFonts w:ascii="Times New Roman" w:hAnsi="Times New Roman" w:cs="Times New Roman"/>
                <w:sz w:val="28"/>
                <w:szCs w:val="28"/>
              </w:rPr>
              <w:t xml:space="preserve"> 35% dos recursos </w:t>
            </w:r>
            <w:r>
              <w:rPr>
                <w:rFonts w:ascii="Times New Roman" w:hAnsi="Times New Roman" w:cs="Times New Roman"/>
                <w:sz w:val="28"/>
                <w:szCs w:val="28"/>
              </w:rPr>
              <w:t xml:space="preserve"> concedidos pelo BNDES a taxas subsidiadas para </w:t>
            </w:r>
            <w:r w:rsidRPr="006E0B5A">
              <w:rPr>
                <w:rFonts w:ascii="Times New Roman" w:hAnsi="Times New Roman" w:cs="Times New Roman"/>
                <w:sz w:val="28"/>
                <w:szCs w:val="28"/>
              </w:rPr>
              <w:t xml:space="preserve">às micro e </w:t>
            </w:r>
            <w:r w:rsidRPr="006E0B5A">
              <w:rPr>
                <w:rFonts w:ascii="Times New Roman" w:hAnsi="Times New Roman" w:cs="Times New Roman"/>
                <w:sz w:val="28"/>
                <w:szCs w:val="28"/>
              </w:rPr>
              <w:lastRenderedPageBreak/>
              <w:t>pequenas empresas.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10</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Dep. Mendonça Filho</w:t>
            </w:r>
          </w:p>
        </w:tc>
        <w:tc>
          <w:tcPr>
            <w:tcW w:w="6095" w:type="dxa"/>
            <w:vAlign w:val="center"/>
          </w:tcPr>
          <w:p w:rsidR="001363A6" w:rsidRPr="006E0B5A" w:rsidRDefault="001363A6" w:rsidP="0067135F">
            <w:pPr>
              <w:autoSpaceDE w:val="0"/>
              <w:autoSpaceDN w:val="0"/>
              <w:adjustRightInd w:val="0"/>
              <w:jc w:val="both"/>
              <w:rPr>
                <w:rFonts w:ascii="Times New Roman" w:hAnsi="Times New Roman" w:cs="Times New Roman"/>
                <w:color w:val="000000"/>
                <w:sz w:val="28"/>
                <w:szCs w:val="28"/>
              </w:rPr>
            </w:pPr>
          </w:p>
          <w:p w:rsidR="001363A6" w:rsidRPr="006E0B5A" w:rsidRDefault="00F15F78" w:rsidP="006713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xml:space="preserve">Reduz para R$ </w:t>
            </w:r>
            <w:r w:rsidRPr="006E0B5A">
              <w:rPr>
                <w:rFonts w:ascii="Times New Roman" w:hAnsi="Times New Roman" w:cs="Times New Roman"/>
                <w:sz w:val="28"/>
                <w:szCs w:val="28"/>
              </w:rPr>
              <w:t>405.000.000.000,00 (quatroce</w:t>
            </w:r>
            <w:r>
              <w:rPr>
                <w:rFonts w:ascii="Times New Roman" w:hAnsi="Times New Roman" w:cs="Times New Roman"/>
                <w:sz w:val="28"/>
                <w:szCs w:val="28"/>
              </w:rPr>
              <w:t>ntos e cinco bilhões de reais) o montante total dos financiamentos subvencionados pela União.</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11</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Mendonça Filho</w:t>
            </w:r>
          </w:p>
        </w:tc>
        <w:tc>
          <w:tcPr>
            <w:tcW w:w="6095" w:type="dxa"/>
            <w:vAlign w:val="center"/>
          </w:tcPr>
          <w:p w:rsidR="001363A6" w:rsidRPr="006E0B5A" w:rsidRDefault="001363A6" w:rsidP="0067135F">
            <w:pPr>
              <w:autoSpaceDE w:val="0"/>
              <w:autoSpaceDN w:val="0"/>
              <w:adjustRightInd w:val="0"/>
              <w:jc w:val="both"/>
              <w:rPr>
                <w:rFonts w:ascii="Times New Roman" w:hAnsi="Times New Roman" w:cs="Times New Roman"/>
                <w:color w:val="000000"/>
                <w:sz w:val="28"/>
                <w:szCs w:val="28"/>
              </w:rPr>
            </w:pPr>
          </w:p>
          <w:p w:rsidR="001363A6" w:rsidRPr="006E0B5A" w:rsidRDefault="00F15F78" w:rsidP="006713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Proíbe o </w:t>
            </w:r>
            <w:r w:rsidRPr="006E0B5A">
              <w:rPr>
                <w:rFonts w:ascii="Times New Roman" w:hAnsi="Times New Roman" w:cs="Times New Roman"/>
                <w:color w:val="000000"/>
                <w:sz w:val="28"/>
                <w:szCs w:val="28"/>
              </w:rPr>
              <w:t xml:space="preserve">BNDES </w:t>
            </w:r>
            <w:r>
              <w:rPr>
                <w:rFonts w:ascii="Times New Roman" w:hAnsi="Times New Roman" w:cs="Times New Roman"/>
                <w:color w:val="000000"/>
                <w:sz w:val="28"/>
                <w:szCs w:val="28"/>
              </w:rPr>
              <w:t>de c</w:t>
            </w:r>
            <w:r w:rsidRPr="006E0B5A">
              <w:rPr>
                <w:rFonts w:ascii="Times New Roman" w:hAnsi="Times New Roman" w:cs="Times New Roman"/>
                <w:color w:val="000000"/>
                <w:sz w:val="28"/>
                <w:szCs w:val="28"/>
              </w:rPr>
              <w:t>onceder financiamentos a taxas subsidiadas com o intuito de viabilizar projetos que contemplem atos de concentração econômica.</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12</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Eduardo Amorim</w:t>
            </w:r>
          </w:p>
        </w:tc>
        <w:tc>
          <w:tcPr>
            <w:tcW w:w="6095" w:type="dxa"/>
            <w:vAlign w:val="center"/>
          </w:tcPr>
          <w:p w:rsidR="001363A6" w:rsidRPr="006E0B5A" w:rsidRDefault="001363A6" w:rsidP="0067135F">
            <w:pPr>
              <w:pStyle w:val="Default"/>
              <w:jc w:val="both"/>
              <w:rPr>
                <w:rFonts w:ascii="Times New Roman" w:hAnsi="Times New Roman" w:cs="Times New Roman"/>
                <w:bCs/>
                <w:sz w:val="28"/>
                <w:szCs w:val="28"/>
              </w:rPr>
            </w:pPr>
          </w:p>
          <w:p w:rsidR="001363A6" w:rsidRPr="006E0B5A" w:rsidRDefault="001C72DD" w:rsidP="0067135F">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Prorroga</w:t>
            </w:r>
            <w:r w:rsidR="000C1231">
              <w:rPr>
                <w:rFonts w:ascii="Times New Roman" w:hAnsi="Times New Roman" w:cs="Times New Roman"/>
                <w:bCs/>
                <w:color w:val="000000"/>
                <w:sz w:val="28"/>
                <w:szCs w:val="28"/>
              </w:rPr>
              <w:t xml:space="preserve"> o pagamento de saldo devedor nas hipóteses que menciona nos casos </w:t>
            </w:r>
            <w:r w:rsidR="001363A6" w:rsidRPr="006E0B5A">
              <w:rPr>
                <w:rFonts w:ascii="Times New Roman" w:hAnsi="Times New Roman" w:cs="Times New Roman"/>
                <w:bCs/>
                <w:color w:val="000000"/>
                <w:sz w:val="28"/>
                <w:szCs w:val="28"/>
              </w:rPr>
              <w:t>em s</w:t>
            </w:r>
            <w:r w:rsidR="000C1231">
              <w:rPr>
                <w:rFonts w:ascii="Times New Roman" w:hAnsi="Times New Roman" w:cs="Times New Roman"/>
                <w:bCs/>
                <w:color w:val="000000"/>
                <w:sz w:val="28"/>
                <w:szCs w:val="28"/>
              </w:rPr>
              <w:t xml:space="preserve">ituação de adimplência em 2011. Prorroga </w:t>
            </w:r>
            <w:r w:rsidR="001363A6" w:rsidRPr="006E0B5A">
              <w:rPr>
                <w:rFonts w:ascii="Times New Roman" w:hAnsi="Times New Roman" w:cs="Times New Roman"/>
                <w:bCs/>
                <w:color w:val="000000"/>
                <w:sz w:val="28"/>
                <w:szCs w:val="28"/>
              </w:rPr>
              <w:t>o prazo para pagamento em 20 anos dos créditos obtidos, com 5 anos de carência, e com taxas de juros de 3,5% ao ano.</w:t>
            </w:r>
          </w:p>
          <w:p w:rsidR="001363A6" w:rsidRPr="006E0B5A" w:rsidRDefault="001363A6" w:rsidP="0067135F">
            <w:pPr>
              <w:autoSpaceDE w:val="0"/>
              <w:autoSpaceDN w:val="0"/>
              <w:adjustRightInd w:val="0"/>
              <w:jc w:val="both"/>
              <w:rPr>
                <w:rFonts w:ascii="Times New Roman" w:hAnsi="Times New Roman" w:cs="Times New Roman"/>
                <w:color w:val="000000"/>
                <w:sz w:val="28"/>
                <w:szCs w:val="28"/>
              </w:rPr>
            </w:pP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13</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Eduardo Cunha</w:t>
            </w:r>
          </w:p>
        </w:tc>
        <w:tc>
          <w:tcPr>
            <w:tcW w:w="6095" w:type="dxa"/>
            <w:vAlign w:val="center"/>
          </w:tcPr>
          <w:p w:rsidR="001363A6" w:rsidRPr="006E0B5A" w:rsidRDefault="00D422A3" w:rsidP="0067135F">
            <w:pPr>
              <w:pStyle w:val="Default"/>
              <w:jc w:val="both"/>
              <w:rPr>
                <w:rFonts w:ascii="Times New Roman" w:hAnsi="Times New Roman" w:cs="Times New Roman"/>
                <w:bCs/>
                <w:sz w:val="28"/>
                <w:szCs w:val="28"/>
              </w:rPr>
            </w:pPr>
            <w:r>
              <w:rPr>
                <w:rFonts w:ascii="Times New Roman" w:hAnsi="Times New Roman" w:cs="Times New Roman"/>
                <w:bCs/>
                <w:sz w:val="28"/>
                <w:szCs w:val="28"/>
              </w:rPr>
              <w:t>Dispensa o Exame de Ordem para o exercício da advocacia pelos bacharéis em Direito, mediante requerimento dirigido à OAB, e torna o Exame não oneroso. O Exame passa a ser parâmetro para a avaliação dos Cursos</w:t>
            </w:r>
            <w:r w:rsidR="001363A6" w:rsidRPr="006E0B5A">
              <w:rPr>
                <w:rFonts w:ascii="Times New Roman" w:hAnsi="Times New Roman" w:cs="Times New Roman"/>
                <w:bCs/>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14</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Eduardo Cunha</w:t>
            </w:r>
          </w:p>
        </w:tc>
        <w:tc>
          <w:tcPr>
            <w:tcW w:w="6095" w:type="dxa"/>
            <w:vAlign w:val="center"/>
          </w:tcPr>
          <w:p w:rsidR="001363A6" w:rsidRPr="006E0B5A" w:rsidRDefault="001363A6" w:rsidP="0067135F">
            <w:pPr>
              <w:autoSpaceDE w:val="0"/>
              <w:autoSpaceDN w:val="0"/>
              <w:adjustRightInd w:val="0"/>
              <w:jc w:val="both"/>
              <w:rPr>
                <w:rFonts w:ascii="Times New Roman" w:hAnsi="Times New Roman" w:cs="Times New Roman"/>
                <w:color w:val="000000"/>
                <w:sz w:val="28"/>
                <w:szCs w:val="28"/>
              </w:rPr>
            </w:pPr>
          </w:p>
          <w:p w:rsidR="001363A6" w:rsidRPr="006E0B5A" w:rsidRDefault="000C1231" w:rsidP="0067135F">
            <w:pPr>
              <w:pStyle w:val="Default"/>
              <w:jc w:val="both"/>
              <w:rPr>
                <w:rFonts w:ascii="Times New Roman" w:hAnsi="Times New Roman" w:cs="Times New Roman"/>
                <w:bCs/>
                <w:sz w:val="28"/>
                <w:szCs w:val="28"/>
              </w:rPr>
            </w:pPr>
            <w:r>
              <w:rPr>
                <w:rFonts w:ascii="Times New Roman" w:hAnsi="Times New Roman" w:cs="Times New Roman"/>
                <w:bCs/>
                <w:sz w:val="28"/>
                <w:szCs w:val="28"/>
              </w:rPr>
              <w:t xml:space="preserve">Isenta de pagamento de quaisquer despesas o bacharel em Direito que se inscreva para o Exame da Ordem.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15</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Ricardo Ferraço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F66EE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Estipula</w:t>
            </w:r>
            <w:r w:rsidR="001363A6" w:rsidRPr="006E0B5A">
              <w:rPr>
                <w:rFonts w:ascii="Times New Roman" w:hAnsi="Times New Roman" w:cs="Times New Roman"/>
                <w:sz w:val="28"/>
                <w:szCs w:val="28"/>
              </w:rPr>
              <w:t xml:space="preserve"> o prazo máximo de quinze anos para a amortização integral de encargo</w:t>
            </w:r>
            <w:r w:rsidR="00F66EE5">
              <w:rPr>
                <w:rFonts w:ascii="Times New Roman" w:hAnsi="Times New Roman" w:cs="Times New Roman"/>
                <w:sz w:val="28"/>
                <w:szCs w:val="28"/>
              </w:rPr>
              <w:t xml:space="preserve">s financeiros e de seu principal de que trata a Medida Provisória.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16</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Carmem Zanotto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F66EE5">
            <w:pPr>
              <w:pStyle w:val="Default"/>
              <w:jc w:val="both"/>
              <w:rPr>
                <w:rFonts w:ascii="Times New Roman" w:hAnsi="Times New Roman" w:cs="Times New Roman"/>
                <w:sz w:val="28"/>
                <w:szCs w:val="28"/>
              </w:rPr>
            </w:pPr>
            <w:r>
              <w:rPr>
                <w:rFonts w:ascii="Times New Roman" w:hAnsi="Times New Roman" w:cs="Times New Roman"/>
                <w:sz w:val="28"/>
                <w:szCs w:val="28"/>
              </w:rPr>
              <w:t>Destina</w:t>
            </w:r>
            <w:r w:rsidR="00F66EE5">
              <w:rPr>
                <w:rFonts w:ascii="Times New Roman" w:hAnsi="Times New Roman" w:cs="Times New Roman"/>
                <w:sz w:val="28"/>
                <w:szCs w:val="28"/>
              </w:rPr>
              <w:t xml:space="preserve"> um mínimo de 50% dos recursos do BNDES para as</w:t>
            </w:r>
            <w:r w:rsidR="001363A6" w:rsidRPr="006E0B5A">
              <w:rPr>
                <w:rFonts w:ascii="Times New Roman" w:hAnsi="Times New Roman" w:cs="Times New Roman"/>
                <w:sz w:val="28"/>
                <w:szCs w:val="28"/>
              </w:rPr>
              <w:t xml:space="preserve"> micro, pequenas e médias empresas.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17</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Carmem Zanotto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EA1E36">
            <w:pPr>
              <w:pStyle w:val="Default"/>
              <w:jc w:val="both"/>
              <w:rPr>
                <w:rFonts w:ascii="Times New Roman" w:hAnsi="Times New Roman" w:cs="Times New Roman"/>
                <w:sz w:val="28"/>
                <w:szCs w:val="28"/>
              </w:rPr>
            </w:pPr>
            <w:r>
              <w:rPr>
                <w:rFonts w:ascii="Times New Roman" w:hAnsi="Times New Roman" w:cs="Times New Roman"/>
                <w:sz w:val="28"/>
                <w:szCs w:val="28"/>
              </w:rPr>
              <w:t>Proíbe</w:t>
            </w:r>
            <w:r w:rsidR="00EA1E36">
              <w:rPr>
                <w:rFonts w:ascii="Times New Roman" w:hAnsi="Times New Roman" w:cs="Times New Roman"/>
                <w:sz w:val="28"/>
                <w:szCs w:val="28"/>
              </w:rPr>
              <w:t xml:space="preserve"> que os </w:t>
            </w:r>
            <w:r w:rsidR="001363A6" w:rsidRPr="006E0B5A">
              <w:rPr>
                <w:rFonts w:ascii="Times New Roman" w:hAnsi="Times New Roman" w:cs="Times New Roman"/>
                <w:sz w:val="28"/>
                <w:szCs w:val="28"/>
              </w:rPr>
              <w:t>contratos que receberem recursos concedidos sob a modalidade de equalização de taxas de juros a que se refere o caput não poderão conter cláusulas de confidencialidade.</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18</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proofErr w:type="spellStart"/>
            <w:r w:rsidR="001363A6" w:rsidRPr="006E0B5A">
              <w:rPr>
                <w:rFonts w:ascii="Times New Roman" w:hAnsi="Times New Roman" w:cs="Times New Roman"/>
                <w:sz w:val="28"/>
                <w:szCs w:val="28"/>
              </w:rPr>
              <w:t>Izalci</w:t>
            </w:r>
            <w:proofErr w:type="spellEnd"/>
          </w:p>
        </w:tc>
        <w:tc>
          <w:tcPr>
            <w:tcW w:w="6095" w:type="dxa"/>
            <w:vAlign w:val="center"/>
          </w:tcPr>
          <w:p w:rsidR="001663A6" w:rsidRPr="006E0B5A" w:rsidRDefault="001663A6" w:rsidP="0067135F">
            <w:pPr>
              <w:jc w:val="both"/>
              <w:rPr>
                <w:rFonts w:ascii="Times New Roman" w:hAnsi="Times New Roman" w:cs="Times New Roman"/>
                <w:sz w:val="28"/>
                <w:szCs w:val="28"/>
              </w:rPr>
            </w:pPr>
          </w:p>
          <w:p w:rsidR="001363A6" w:rsidRPr="006E0B5A" w:rsidRDefault="00F15F78" w:rsidP="0067135F">
            <w:pPr>
              <w:pStyle w:val="Default"/>
              <w:jc w:val="both"/>
              <w:rPr>
                <w:rFonts w:ascii="Times New Roman" w:hAnsi="Times New Roman" w:cs="Times New Roman"/>
                <w:sz w:val="28"/>
                <w:szCs w:val="28"/>
              </w:rPr>
            </w:pPr>
            <w:r>
              <w:rPr>
                <w:rFonts w:ascii="Times New Roman" w:hAnsi="Times New Roman" w:cs="Times New Roman"/>
                <w:sz w:val="28"/>
                <w:szCs w:val="28"/>
              </w:rPr>
              <w:t xml:space="preserve">Institui capitalização anual de juros para  </w:t>
            </w:r>
            <w:r w:rsidRPr="006E0B5A">
              <w:rPr>
                <w:rFonts w:ascii="Times New Roman" w:hAnsi="Times New Roman" w:cs="Times New Roman"/>
                <w:sz w:val="28"/>
                <w:szCs w:val="28"/>
              </w:rPr>
              <w:t>os contratos celebrados no âmbito do FIES</w:t>
            </w:r>
            <w:r>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19</w:t>
            </w:r>
          </w:p>
        </w:tc>
        <w:tc>
          <w:tcPr>
            <w:tcW w:w="2651" w:type="dxa"/>
            <w:vAlign w:val="center"/>
          </w:tcPr>
          <w:p w:rsidR="001363A6" w:rsidRPr="006E0B5A" w:rsidRDefault="00984F07"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 xml:space="preserve">Dep. </w:t>
            </w:r>
            <w:r w:rsidR="001363A6" w:rsidRPr="006E0B5A">
              <w:rPr>
                <w:rFonts w:ascii="Times New Roman" w:hAnsi="Times New Roman" w:cs="Times New Roman"/>
                <w:sz w:val="28"/>
                <w:szCs w:val="28"/>
              </w:rPr>
              <w:t>Bruno Covas</w:t>
            </w:r>
          </w:p>
        </w:tc>
        <w:tc>
          <w:tcPr>
            <w:tcW w:w="6095" w:type="dxa"/>
            <w:vAlign w:val="center"/>
          </w:tcPr>
          <w:p w:rsidR="00DD54FF" w:rsidRDefault="00DD54FF"/>
          <w:p w:rsidR="001363A6" w:rsidRPr="006E0B5A" w:rsidRDefault="00F15F78" w:rsidP="0067135F">
            <w:pPr>
              <w:pStyle w:val="Default"/>
              <w:jc w:val="both"/>
              <w:rPr>
                <w:rFonts w:ascii="Times New Roman" w:hAnsi="Times New Roman" w:cs="Times New Roman"/>
                <w:sz w:val="28"/>
                <w:szCs w:val="28"/>
              </w:rPr>
            </w:pPr>
            <w:r>
              <w:rPr>
                <w:rFonts w:ascii="Times New Roman" w:hAnsi="Times New Roman" w:cs="Times New Roman"/>
                <w:sz w:val="28"/>
                <w:szCs w:val="28"/>
              </w:rPr>
              <w:t xml:space="preserve">Altera </w:t>
            </w:r>
            <w:r w:rsidRPr="006E0B5A">
              <w:rPr>
                <w:rFonts w:ascii="Times New Roman" w:hAnsi="Times New Roman" w:cs="Times New Roman"/>
                <w:sz w:val="28"/>
                <w:szCs w:val="28"/>
              </w:rPr>
              <w:t>a Lei nº 12.096 de 2014, além das previstas no texto original da MP 633, de 2014, com o objetivo de dar transparência na concess</w:t>
            </w:r>
            <w:r>
              <w:rPr>
                <w:rFonts w:ascii="Times New Roman" w:hAnsi="Times New Roman" w:cs="Times New Roman"/>
                <w:sz w:val="28"/>
                <w:szCs w:val="28"/>
              </w:rPr>
              <w:t>ão de financiamentos pelo BNDES</w:t>
            </w:r>
            <w:r w:rsidRPr="006E0B5A">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20</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Arnaldo </w:t>
            </w:r>
            <w:proofErr w:type="spellStart"/>
            <w:r w:rsidR="001363A6" w:rsidRPr="006E0B5A">
              <w:rPr>
                <w:rFonts w:ascii="Times New Roman" w:hAnsi="Times New Roman" w:cs="Times New Roman"/>
                <w:sz w:val="28"/>
                <w:szCs w:val="28"/>
              </w:rPr>
              <w:t>Jordy</w:t>
            </w:r>
            <w:proofErr w:type="spellEnd"/>
          </w:p>
        </w:tc>
        <w:tc>
          <w:tcPr>
            <w:tcW w:w="6095" w:type="dxa"/>
            <w:vAlign w:val="center"/>
          </w:tcPr>
          <w:p w:rsidR="001663A6" w:rsidRPr="006E0B5A" w:rsidRDefault="001663A6" w:rsidP="0067135F">
            <w:pPr>
              <w:autoSpaceDE w:val="0"/>
              <w:autoSpaceDN w:val="0"/>
              <w:adjustRightInd w:val="0"/>
              <w:jc w:val="both"/>
              <w:rPr>
                <w:rFonts w:ascii="Times New Roman" w:hAnsi="Times New Roman" w:cs="Times New Roman"/>
                <w:sz w:val="28"/>
                <w:szCs w:val="28"/>
              </w:rPr>
            </w:pPr>
          </w:p>
          <w:p w:rsidR="001363A6" w:rsidRPr="006E0B5A" w:rsidRDefault="001C72DD" w:rsidP="00BF5AE0">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Proíbe</w:t>
            </w:r>
            <w:r w:rsidR="00BF5AE0">
              <w:rPr>
                <w:rFonts w:ascii="Times New Roman" w:hAnsi="Times New Roman" w:cs="Times New Roman"/>
                <w:sz w:val="28"/>
                <w:szCs w:val="28"/>
              </w:rPr>
              <w:t xml:space="preserve"> o BNDES de </w:t>
            </w:r>
            <w:r w:rsidR="001363A6" w:rsidRPr="006E0B5A">
              <w:rPr>
                <w:rFonts w:ascii="Times New Roman" w:hAnsi="Times New Roman" w:cs="Times New Roman"/>
                <w:sz w:val="28"/>
                <w:szCs w:val="28"/>
              </w:rPr>
              <w:t>conceder financiamentos de que trata o Art. 1º da Lei nº 12.096, de 24 de novembro de 2009, para projetos que promovam atos de concentração econômica.</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21</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Arnaldo </w:t>
            </w:r>
            <w:proofErr w:type="spellStart"/>
            <w:r w:rsidR="001363A6" w:rsidRPr="006E0B5A">
              <w:rPr>
                <w:rFonts w:ascii="Times New Roman" w:hAnsi="Times New Roman" w:cs="Times New Roman"/>
                <w:sz w:val="28"/>
                <w:szCs w:val="28"/>
              </w:rPr>
              <w:t>Jordy</w:t>
            </w:r>
            <w:proofErr w:type="spellEnd"/>
          </w:p>
        </w:tc>
        <w:tc>
          <w:tcPr>
            <w:tcW w:w="6095" w:type="dxa"/>
            <w:vAlign w:val="center"/>
          </w:tcPr>
          <w:p w:rsidR="001663A6" w:rsidRPr="006E0B5A" w:rsidRDefault="001663A6" w:rsidP="0067135F">
            <w:pPr>
              <w:pStyle w:val="Default"/>
              <w:jc w:val="both"/>
              <w:rPr>
                <w:rFonts w:ascii="Times New Roman" w:hAnsi="Times New Roman" w:cs="Times New Roman"/>
                <w:sz w:val="28"/>
                <w:szCs w:val="28"/>
              </w:rPr>
            </w:pPr>
          </w:p>
          <w:p w:rsidR="001363A6" w:rsidRPr="006E0B5A" w:rsidRDefault="00BF5AE0" w:rsidP="000829F9">
            <w:pPr>
              <w:pStyle w:val="Default"/>
              <w:jc w:val="both"/>
              <w:rPr>
                <w:rFonts w:ascii="Times New Roman" w:hAnsi="Times New Roman" w:cs="Times New Roman"/>
                <w:sz w:val="28"/>
                <w:szCs w:val="28"/>
              </w:rPr>
            </w:pPr>
            <w:r>
              <w:rPr>
                <w:rFonts w:ascii="Times New Roman" w:hAnsi="Times New Roman" w:cs="Times New Roman"/>
                <w:sz w:val="28"/>
                <w:szCs w:val="28"/>
              </w:rPr>
              <w:t xml:space="preserve">Pretende </w:t>
            </w:r>
            <w:r w:rsidR="000829F9">
              <w:rPr>
                <w:rFonts w:ascii="Times New Roman" w:hAnsi="Times New Roman" w:cs="Times New Roman"/>
                <w:sz w:val="28"/>
                <w:szCs w:val="28"/>
              </w:rPr>
              <w:t xml:space="preserve">que o </w:t>
            </w:r>
            <w:r w:rsidR="001363A6" w:rsidRPr="006E0B5A">
              <w:rPr>
                <w:rFonts w:ascii="Times New Roman" w:hAnsi="Times New Roman" w:cs="Times New Roman"/>
                <w:sz w:val="28"/>
                <w:szCs w:val="28"/>
              </w:rPr>
              <w:t>montante adicional de recursos subvencionados a serem concedidos pelo Banco Nacional de Desenvolvimento Econômico e Social – BNDES, de que trata o Art. 1º da Lei 12.096, de 24 de novembro de 2009, desde que haja demanda, deverão ser alocados em atividades econômicas situadas nas regiões Norte e Nordeste, respeitando, no mínimo, a proporcionalidade populacional, em conformidade com o censo de 2010</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22</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Evandro </w:t>
            </w:r>
            <w:proofErr w:type="spellStart"/>
            <w:r w:rsidR="001363A6" w:rsidRPr="006E0B5A">
              <w:rPr>
                <w:rFonts w:ascii="Times New Roman" w:hAnsi="Times New Roman" w:cs="Times New Roman"/>
                <w:sz w:val="28"/>
                <w:szCs w:val="28"/>
              </w:rPr>
              <w:t>Gussy</w:t>
            </w:r>
            <w:proofErr w:type="spellEnd"/>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7F272F" w:rsidP="0067135F">
            <w:pPr>
              <w:pStyle w:val="Default"/>
              <w:jc w:val="both"/>
              <w:rPr>
                <w:rFonts w:ascii="Times New Roman" w:hAnsi="Times New Roman" w:cs="Times New Roman"/>
                <w:bCs/>
                <w:color w:val="212121"/>
                <w:sz w:val="28"/>
                <w:szCs w:val="28"/>
              </w:rPr>
            </w:pPr>
            <w:r>
              <w:rPr>
                <w:rFonts w:ascii="Times New Roman" w:hAnsi="Times New Roman" w:cs="Times New Roman"/>
                <w:bCs/>
                <w:color w:val="212121"/>
                <w:sz w:val="28"/>
                <w:szCs w:val="28"/>
              </w:rPr>
              <w:t>Pretende que, d</w:t>
            </w:r>
            <w:r w:rsidR="001363A6" w:rsidRPr="006E0B5A">
              <w:rPr>
                <w:rFonts w:ascii="Times New Roman" w:hAnsi="Times New Roman" w:cs="Times New Roman"/>
                <w:bCs/>
                <w:color w:val="212121"/>
                <w:sz w:val="28"/>
                <w:szCs w:val="28"/>
              </w:rPr>
              <w:t>o mon</w:t>
            </w:r>
            <w:r>
              <w:rPr>
                <w:rFonts w:ascii="Times New Roman" w:hAnsi="Times New Roman" w:cs="Times New Roman"/>
                <w:bCs/>
                <w:color w:val="212121"/>
                <w:sz w:val="28"/>
                <w:szCs w:val="28"/>
              </w:rPr>
              <w:t xml:space="preserve">tante dos financiamentos para </w:t>
            </w:r>
            <w:r w:rsidR="001363A6" w:rsidRPr="006E0B5A">
              <w:rPr>
                <w:rFonts w:ascii="Times New Roman" w:hAnsi="Times New Roman" w:cs="Times New Roman"/>
                <w:bCs/>
                <w:color w:val="212121"/>
                <w:sz w:val="28"/>
                <w:szCs w:val="28"/>
              </w:rPr>
              <w:t>produção de combustíveis líquidos, no mínimo 30% (trinta por cento) deverão ser destinados aos biocombustíveis, proporcionalmente às frações dos correspondentes combustíveis fósseis.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23</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Fernando Bezerra Coelho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363A6" w:rsidP="007F272F">
            <w:pPr>
              <w:pStyle w:val="Default"/>
              <w:jc w:val="both"/>
              <w:rPr>
                <w:rFonts w:ascii="Times New Roman" w:hAnsi="Times New Roman" w:cs="Times New Roman"/>
                <w:sz w:val="28"/>
                <w:szCs w:val="28"/>
              </w:rPr>
            </w:pPr>
            <w:r w:rsidRPr="006E0B5A">
              <w:rPr>
                <w:rFonts w:ascii="Times New Roman" w:hAnsi="Times New Roman" w:cs="Times New Roman"/>
                <w:sz w:val="28"/>
                <w:szCs w:val="28"/>
              </w:rPr>
              <w:t>Propõe valores de alocação anual de recursos à conta do Tesouro Nacional para o FDA FDNE, outrora prevista como recursos dos Fundos, de maneira a dar um ponto de partida para que seja possível a estimativa de desembolso</w:t>
            </w:r>
            <w:r w:rsidR="007F272F">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24</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Fernando Bezerra Coelho</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7F272F" w:rsidP="00DE7412">
            <w:pPr>
              <w:pStyle w:val="Default"/>
              <w:jc w:val="both"/>
              <w:rPr>
                <w:rFonts w:ascii="Times New Roman" w:hAnsi="Times New Roman" w:cs="Times New Roman"/>
                <w:sz w:val="28"/>
                <w:szCs w:val="28"/>
              </w:rPr>
            </w:pPr>
            <w:r>
              <w:rPr>
                <w:rFonts w:ascii="Times New Roman" w:hAnsi="Times New Roman" w:cs="Times New Roman"/>
                <w:sz w:val="28"/>
                <w:szCs w:val="28"/>
              </w:rPr>
              <w:t>Pretende que o</w:t>
            </w:r>
            <w:r w:rsidR="001363A6" w:rsidRPr="006E0B5A">
              <w:rPr>
                <w:rFonts w:ascii="Times New Roman" w:hAnsi="Times New Roman" w:cs="Times New Roman"/>
                <w:sz w:val="28"/>
                <w:szCs w:val="28"/>
              </w:rPr>
              <w:t xml:space="preserve">s encargos financeiros praticados nas operações de crédito </w:t>
            </w:r>
            <w:r>
              <w:rPr>
                <w:rFonts w:ascii="Times New Roman" w:hAnsi="Times New Roman" w:cs="Times New Roman"/>
                <w:sz w:val="28"/>
                <w:szCs w:val="28"/>
              </w:rPr>
              <w:t>tenham</w:t>
            </w:r>
            <w:r w:rsidR="001363A6" w:rsidRPr="006E0B5A">
              <w:rPr>
                <w:rFonts w:ascii="Times New Roman" w:hAnsi="Times New Roman" w:cs="Times New Roman"/>
                <w:sz w:val="28"/>
                <w:szCs w:val="28"/>
              </w:rPr>
              <w:t xml:space="preserve"> </w:t>
            </w:r>
            <w:r w:rsidR="00DE7412">
              <w:rPr>
                <w:rFonts w:ascii="Times New Roman" w:hAnsi="Times New Roman" w:cs="Times New Roman"/>
                <w:sz w:val="28"/>
                <w:szCs w:val="28"/>
              </w:rPr>
              <w:t xml:space="preserve">taxas de </w:t>
            </w:r>
            <w:r w:rsidR="001363A6" w:rsidRPr="006E0B5A">
              <w:rPr>
                <w:rFonts w:ascii="Times New Roman" w:hAnsi="Times New Roman" w:cs="Times New Roman"/>
                <w:sz w:val="28"/>
                <w:szCs w:val="28"/>
              </w:rPr>
              <w:t>pelo menos dois pontos percentuais</w:t>
            </w:r>
            <w:r w:rsidR="00DE7412">
              <w:rPr>
                <w:rFonts w:ascii="Times New Roman" w:hAnsi="Times New Roman" w:cs="Times New Roman"/>
                <w:sz w:val="28"/>
                <w:szCs w:val="28"/>
              </w:rPr>
              <w:t xml:space="preserve"> inferiores, a fim de </w:t>
            </w:r>
            <w:r w:rsidR="001363A6" w:rsidRPr="006E0B5A">
              <w:rPr>
                <w:rFonts w:ascii="Times New Roman" w:hAnsi="Times New Roman" w:cs="Times New Roman"/>
                <w:sz w:val="28"/>
                <w:szCs w:val="28"/>
              </w:rPr>
              <w:t>manter a atratividade dos projetos de desenvolvimento regional.</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25</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André Figueiredo</w:t>
            </w:r>
          </w:p>
        </w:tc>
        <w:tc>
          <w:tcPr>
            <w:tcW w:w="6095" w:type="dxa"/>
            <w:vAlign w:val="center"/>
          </w:tcPr>
          <w:p w:rsidR="001363A6" w:rsidRPr="006E0B5A" w:rsidRDefault="001363A6" w:rsidP="0067135F">
            <w:pPr>
              <w:autoSpaceDE w:val="0"/>
              <w:autoSpaceDN w:val="0"/>
              <w:adjustRightInd w:val="0"/>
              <w:jc w:val="both"/>
              <w:rPr>
                <w:rFonts w:ascii="Times New Roman" w:hAnsi="Times New Roman" w:cs="Times New Roman"/>
                <w:color w:val="000000"/>
                <w:sz w:val="28"/>
                <w:szCs w:val="28"/>
              </w:rPr>
            </w:pPr>
          </w:p>
          <w:p w:rsidR="001363A6" w:rsidRPr="006E0B5A" w:rsidRDefault="00F15F78" w:rsidP="0067135F">
            <w:pPr>
              <w:pStyle w:val="Default"/>
              <w:jc w:val="both"/>
              <w:rPr>
                <w:rFonts w:ascii="Times New Roman" w:hAnsi="Times New Roman" w:cs="Times New Roman"/>
                <w:sz w:val="28"/>
                <w:szCs w:val="28"/>
              </w:rPr>
            </w:pPr>
            <w:r>
              <w:rPr>
                <w:rFonts w:ascii="Times New Roman" w:hAnsi="Times New Roman" w:cs="Times New Roman"/>
                <w:sz w:val="28"/>
                <w:szCs w:val="28"/>
              </w:rPr>
              <w:t>Destina o</w:t>
            </w:r>
            <w:r w:rsidRPr="006E0B5A">
              <w:rPr>
                <w:rFonts w:ascii="Times New Roman" w:hAnsi="Times New Roman" w:cs="Times New Roman"/>
                <w:sz w:val="28"/>
                <w:szCs w:val="28"/>
              </w:rPr>
              <w:t xml:space="preserve"> mínimo</w:t>
            </w:r>
            <w:r>
              <w:rPr>
                <w:rFonts w:ascii="Times New Roman" w:hAnsi="Times New Roman" w:cs="Times New Roman"/>
                <w:sz w:val="28"/>
                <w:szCs w:val="28"/>
              </w:rPr>
              <w:t xml:space="preserve"> de</w:t>
            </w:r>
            <w:r w:rsidRPr="006E0B5A">
              <w:rPr>
                <w:rFonts w:ascii="Times New Roman" w:hAnsi="Times New Roman" w:cs="Times New Roman"/>
                <w:sz w:val="28"/>
                <w:szCs w:val="28"/>
              </w:rPr>
              <w:t xml:space="preserve"> 30% dos recursos</w:t>
            </w:r>
            <w:r>
              <w:rPr>
                <w:rFonts w:ascii="Times New Roman" w:hAnsi="Times New Roman" w:cs="Times New Roman"/>
                <w:sz w:val="28"/>
                <w:szCs w:val="28"/>
              </w:rPr>
              <w:t xml:space="preserve"> concedidos pelo BNDES, a taxas subsidiadas, </w:t>
            </w:r>
            <w:r w:rsidRPr="006E0B5A">
              <w:rPr>
                <w:rFonts w:ascii="Times New Roman" w:hAnsi="Times New Roman" w:cs="Times New Roman"/>
                <w:sz w:val="28"/>
                <w:szCs w:val="28"/>
              </w:rPr>
              <w:t>a tomadores situados nas regiões Norte e Nordeste.</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26</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José Serra</w:t>
            </w:r>
          </w:p>
        </w:tc>
        <w:tc>
          <w:tcPr>
            <w:tcW w:w="6095" w:type="dxa"/>
            <w:vAlign w:val="center"/>
          </w:tcPr>
          <w:p w:rsidR="001663A6" w:rsidRPr="006E0B5A" w:rsidRDefault="001663A6" w:rsidP="0067135F">
            <w:pPr>
              <w:autoSpaceDE w:val="0"/>
              <w:autoSpaceDN w:val="0"/>
              <w:adjustRightInd w:val="0"/>
              <w:jc w:val="both"/>
              <w:rPr>
                <w:rFonts w:ascii="Times New Roman" w:hAnsi="Times New Roman" w:cs="Times New Roman"/>
                <w:color w:val="000000"/>
                <w:sz w:val="28"/>
                <w:szCs w:val="28"/>
              </w:rPr>
            </w:pPr>
          </w:p>
          <w:p w:rsidR="001363A6" w:rsidRPr="006E0B5A" w:rsidRDefault="001C72DD" w:rsidP="00FF76E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Determina</w:t>
            </w:r>
            <w:r w:rsidR="00FF76EC">
              <w:rPr>
                <w:rFonts w:ascii="Times New Roman" w:hAnsi="Times New Roman" w:cs="Times New Roman"/>
                <w:color w:val="000000"/>
                <w:sz w:val="28"/>
                <w:szCs w:val="28"/>
              </w:rPr>
              <w:t xml:space="preserve"> que seja publicada, </w:t>
            </w:r>
            <w:r w:rsidR="001363A6" w:rsidRPr="006E0B5A">
              <w:rPr>
                <w:rFonts w:ascii="Times New Roman" w:hAnsi="Times New Roman" w:cs="Times New Roman"/>
                <w:color w:val="000000"/>
                <w:sz w:val="28"/>
                <w:szCs w:val="28"/>
              </w:rPr>
              <w:t>até o ultimo dia do mês subsequente a cada bimestre, na internet, o impacto fiscal das operações do Tesouro com o BNDES e os valores inscritos em restos a pagar nas operações de equalização de taxa de juros, no último exercício financeiro.</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27</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Romero Jucá</w:t>
            </w:r>
          </w:p>
        </w:tc>
        <w:tc>
          <w:tcPr>
            <w:tcW w:w="6095" w:type="dxa"/>
            <w:vAlign w:val="center"/>
          </w:tcPr>
          <w:p w:rsidR="001663A6" w:rsidRPr="006E0B5A" w:rsidRDefault="001663A6" w:rsidP="0067135F">
            <w:pPr>
              <w:autoSpaceDE w:val="0"/>
              <w:autoSpaceDN w:val="0"/>
              <w:adjustRightInd w:val="0"/>
              <w:jc w:val="both"/>
              <w:rPr>
                <w:rFonts w:ascii="Times New Roman" w:hAnsi="Times New Roman" w:cs="Times New Roman"/>
                <w:sz w:val="28"/>
                <w:szCs w:val="28"/>
              </w:rPr>
            </w:pPr>
          </w:p>
          <w:p w:rsidR="001363A6" w:rsidRPr="006E0B5A" w:rsidRDefault="006522D9" w:rsidP="006522D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xml:space="preserve">Pretende garantir que </w:t>
            </w:r>
            <w:r w:rsidR="001363A6" w:rsidRPr="006E0B5A">
              <w:rPr>
                <w:rFonts w:ascii="Times New Roman" w:hAnsi="Times New Roman" w:cs="Times New Roman"/>
                <w:sz w:val="28"/>
                <w:szCs w:val="28"/>
              </w:rPr>
              <w:t xml:space="preserve">não haja descontinuidade da implementação e desenvolvimento das iniciativas e investimentos da Química Verde no Brasil, tendo em vista a falta de competitividade de preço da matéria-prima renovável.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28</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001363A6" w:rsidRPr="006E0B5A">
              <w:rPr>
                <w:rFonts w:ascii="Times New Roman" w:hAnsi="Times New Roman" w:cs="Times New Roman"/>
                <w:sz w:val="28"/>
                <w:szCs w:val="28"/>
              </w:rPr>
              <w:t>Romero Jucá</w:t>
            </w:r>
          </w:p>
        </w:tc>
        <w:tc>
          <w:tcPr>
            <w:tcW w:w="6095" w:type="dxa"/>
            <w:vAlign w:val="center"/>
          </w:tcPr>
          <w:p w:rsidR="001663A6" w:rsidRPr="006E0B5A" w:rsidRDefault="001663A6" w:rsidP="0067135F">
            <w:pPr>
              <w:pStyle w:val="Default"/>
              <w:jc w:val="both"/>
              <w:rPr>
                <w:rFonts w:ascii="Times New Roman" w:hAnsi="Times New Roman" w:cs="Times New Roman"/>
                <w:sz w:val="28"/>
                <w:szCs w:val="28"/>
              </w:rPr>
            </w:pPr>
          </w:p>
          <w:p w:rsidR="001363A6" w:rsidRPr="006E0B5A" w:rsidRDefault="001C72DD" w:rsidP="006522D9">
            <w:pPr>
              <w:pStyle w:val="Default"/>
              <w:jc w:val="both"/>
              <w:rPr>
                <w:rFonts w:ascii="Times New Roman" w:hAnsi="Times New Roman" w:cs="Times New Roman"/>
                <w:sz w:val="28"/>
                <w:szCs w:val="28"/>
              </w:rPr>
            </w:pPr>
            <w:r>
              <w:rPr>
                <w:rFonts w:ascii="Times New Roman" w:hAnsi="Times New Roman" w:cs="Times New Roman"/>
                <w:sz w:val="28"/>
                <w:szCs w:val="28"/>
              </w:rPr>
              <w:t>Permite</w:t>
            </w:r>
            <w:r w:rsidR="006522D9">
              <w:rPr>
                <w:rFonts w:ascii="Times New Roman" w:hAnsi="Times New Roman" w:cs="Times New Roman"/>
                <w:sz w:val="28"/>
                <w:szCs w:val="28"/>
              </w:rPr>
              <w:t xml:space="preserve"> </w:t>
            </w:r>
            <w:r w:rsidR="001363A6" w:rsidRPr="006E0B5A">
              <w:rPr>
                <w:rFonts w:ascii="Times New Roman" w:hAnsi="Times New Roman" w:cs="Times New Roman"/>
                <w:sz w:val="28"/>
                <w:szCs w:val="28"/>
              </w:rPr>
              <w:t>a concessão de crédito presumido de PIS/</w:t>
            </w:r>
            <w:proofErr w:type="spellStart"/>
            <w:r w:rsidR="001363A6" w:rsidRPr="006E0B5A">
              <w:rPr>
                <w:rFonts w:ascii="Times New Roman" w:hAnsi="Times New Roman" w:cs="Times New Roman"/>
                <w:sz w:val="28"/>
                <w:szCs w:val="28"/>
              </w:rPr>
              <w:t>Cofins</w:t>
            </w:r>
            <w:proofErr w:type="spellEnd"/>
            <w:r w:rsidR="001363A6" w:rsidRPr="006E0B5A">
              <w:rPr>
                <w:rFonts w:ascii="Times New Roman" w:hAnsi="Times New Roman" w:cs="Times New Roman"/>
                <w:sz w:val="28"/>
                <w:szCs w:val="28"/>
              </w:rPr>
              <w:t xml:space="preserve"> sobre a venda de nafta petroquímica no mercado brasileiro, de forma a viabilizar que matéria-prima mais competitiva seja disponibilizada para a indústria petroquímica nacional.</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29</w:t>
            </w:r>
          </w:p>
        </w:tc>
        <w:tc>
          <w:tcPr>
            <w:tcW w:w="2651" w:type="dxa"/>
            <w:vAlign w:val="center"/>
          </w:tcPr>
          <w:p w:rsidR="001363A6" w:rsidRPr="006E0B5A" w:rsidRDefault="001363A6" w:rsidP="000C1231">
            <w:pPr>
              <w:spacing w:before="240"/>
              <w:jc w:val="center"/>
              <w:rPr>
                <w:rFonts w:ascii="Times New Roman" w:hAnsi="Times New Roman" w:cs="Times New Roman"/>
                <w:sz w:val="28"/>
                <w:szCs w:val="28"/>
              </w:rPr>
            </w:pPr>
            <w:r w:rsidRPr="006E0B5A">
              <w:rPr>
                <w:rFonts w:ascii="Times New Roman" w:hAnsi="Times New Roman" w:cs="Times New Roman"/>
                <w:sz w:val="28"/>
                <w:szCs w:val="28"/>
              </w:rPr>
              <w:t>Romero Jucá</w:t>
            </w:r>
          </w:p>
        </w:tc>
        <w:tc>
          <w:tcPr>
            <w:tcW w:w="6095" w:type="dxa"/>
            <w:vAlign w:val="center"/>
          </w:tcPr>
          <w:p w:rsidR="001663A6" w:rsidRPr="006E0B5A" w:rsidRDefault="001663A6" w:rsidP="0067135F">
            <w:pPr>
              <w:pStyle w:val="Default"/>
              <w:jc w:val="both"/>
              <w:rPr>
                <w:rFonts w:ascii="Times New Roman" w:hAnsi="Times New Roman" w:cs="Times New Roman"/>
                <w:sz w:val="28"/>
                <w:szCs w:val="28"/>
              </w:rPr>
            </w:pPr>
          </w:p>
          <w:p w:rsidR="001363A6" w:rsidRPr="006E0B5A" w:rsidRDefault="00454289" w:rsidP="00454289">
            <w:pPr>
              <w:pStyle w:val="Default"/>
              <w:jc w:val="both"/>
              <w:rPr>
                <w:rFonts w:ascii="Times New Roman" w:hAnsi="Times New Roman" w:cs="Times New Roman"/>
                <w:sz w:val="28"/>
                <w:szCs w:val="28"/>
              </w:rPr>
            </w:pPr>
            <w:r>
              <w:rPr>
                <w:rFonts w:ascii="Times New Roman" w:hAnsi="Times New Roman" w:cs="Times New Roman"/>
                <w:sz w:val="28"/>
                <w:szCs w:val="28"/>
              </w:rPr>
              <w:t xml:space="preserve">Pretende prever que </w:t>
            </w:r>
            <w:r w:rsidR="001363A6" w:rsidRPr="006E0B5A">
              <w:rPr>
                <w:rFonts w:ascii="Times New Roman" w:hAnsi="Times New Roman" w:cs="Times New Roman"/>
                <w:sz w:val="28"/>
                <w:szCs w:val="28"/>
              </w:rPr>
              <w:t>a utilização de créditos de prejuízos fiscais próprios ou de terceiros para pagamento de débitos parcelados</w:t>
            </w:r>
            <w:r>
              <w:rPr>
                <w:rFonts w:ascii="Times New Roman" w:hAnsi="Times New Roman" w:cs="Times New Roman"/>
                <w:sz w:val="28"/>
                <w:szCs w:val="28"/>
              </w:rPr>
              <w:t xml:space="preserve"> nas situações de que trata</w:t>
            </w:r>
            <w:r w:rsidR="001363A6" w:rsidRPr="006E0B5A">
              <w:rPr>
                <w:rFonts w:ascii="Times New Roman" w:hAnsi="Times New Roman" w:cs="Times New Roman"/>
                <w:sz w:val="28"/>
                <w:szCs w:val="28"/>
              </w:rPr>
              <w:t xml:space="preserve">.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30</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454289" w:rsidP="00454289">
            <w:pPr>
              <w:pStyle w:val="Default"/>
              <w:jc w:val="both"/>
              <w:rPr>
                <w:rFonts w:ascii="Times New Roman" w:hAnsi="Times New Roman" w:cs="Times New Roman"/>
                <w:sz w:val="28"/>
                <w:szCs w:val="28"/>
              </w:rPr>
            </w:pPr>
            <w:r>
              <w:rPr>
                <w:rFonts w:ascii="Times New Roman" w:hAnsi="Times New Roman" w:cs="Times New Roman"/>
                <w:sz w:val="28"/>
                <w:szCs w:val="28"/>
              </w:rPr>
              <w:t>Pretende que a</w:t>
            </w:r>
            <w:r w:rsidR="001363A6" w:rsidRPr="006E0B5A">
              <w:rPr>
                <w:rFonts w:ascii="Times New Roman" w:hAnsi="Times New Roman" w:cs="Times New Roman"/>
                <w:sz w:val="28"/>
                <w:szCs w:val="28"/>
              </w:rPr>
              <w:t>s centrais petroquímicas sujeitas ao pagamento da CIDE, da Contribuição para o PIS/Pasep e da Contribuição para o Financiamento da Seguridade Social (</w:t>
            </w:r>
            <w:proofErr w:type="spellStart"/>
            <w:r w:rsidR="001363A6" w:rsidRPr="006E0B5A">
              <w:rPr>
                <w:rFonts w:ascii="Times New Roman" w:hAnsi="Times New Roman" w:cs="Times New Roman"/>
                <w:sz w:val="28"/>
                <w:szCs w:val="28"/>
              </w:rPr>
              <w:t>Cofins</w:t>
            </w:r>
            <w:proofErr w:type="spellEnd"/>
            <w:r w:rsidR="001363A6" w:rsidRPr="006E0B5A">
              <w:rPr>
                <w:rFonts w:ascii="Times New Roman" w:hAnsi="Times New Roman" w:cs="Times New Roman"/>
                <w:sz w:val="28"/>
                <w:szCs w:val="28"/>
              </w:rPr>
              <w:t xml:space="preserve">), </w:t>
            </w:r>
            <w:r>
              <w:rPr>
                <w:rFonts w:ascii="Times New Roman" w:hAnsi="Times New Roman" w:cs="Times New Roman"/>
                <w:sz w:val="28"/>
                <w:szCs w:val="28"/>
              </w:rPr>
              <w:t>possam</w:t>
            </w:r>
            <w:r w:rsidR="001363A6" w:rsidRPr="006E0B5A">
              <w:rPr>
                <w:rFonts w:ascii="Times New Roman" w:hAnsi="Times New Roman" w:cs="Times New Roman"/>
                <w:sz w:val="28"/>
                <w:szCs w:val="28"/>
              </w:rPr>
              <w:t xml:space="preserve"> descontar das referidas cont</w:t>
            </w:r>
            <w:r>
              <w:rPr>
                <w:rFonts w:ascii="Times New Roman" w:hAnsi="Times New Roman" w:cs="Times New Roman"/>
                <w:sz w:val="28"/>
                <w:szCs w:val="28"/>
              </w:rPr>
              <w:t xml:space="preserve">ribuições </w:t>
            </w:r>
            <w:r w:rsidR="001363A6" w:rsidRPr="006E0B5A">
              <w:rPr>
                <w:rFonts w:ascii="Times New Roman" w:hAnsi="Times New Roman" w:cs="Times New Roman"/>
                <w:sz w:val="28"/>
                <w:szCs w:val="28"/>
              </w:rPr>
              <w:t>crédito presumido relativo à aquisição de etanol utilizado como insumo produtivo</w:t>
            </w:r>
            <w:r>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31</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FA2785">
            <w:pPr>
              <w:pStyle w:val="Default"/>
              <w:jc w:val="both"/>
              <w:rPr>
                <w:rFonts w:ascii="Times New Roman" w:hAnsi="Times New Roman" w:cs="Times New Roman"/>
                <w:sz w:val="28"/>
                <w:szCs w:val="28"/>
              </w:rPr>
            </w:pPr>
            <w:r>
              <w:rPr>
                <w:rFonts w:ascii="Times New Roman" w:hAnsi="Times New Roman" w:cs="Times New Roman"/>
                <w:sz w:val="28"/>
                <w:szCs w:val="28"/>
              </w:rPr>
              <w:t>Permite</w:t>
            </w:r>
            <w:r w:rsidR="00454289">
              <w:rPr>
                <w:rFonts w:ascii="Times New Roman" w:hAnsi="Times New Roman" w:cs="Times New Roman"/>
                <w:sz w:val="28"/>
                <w:szCs w:val="28"/>
              </w:rPr>
              <w:t xml:space="preserve"> o desconto das referidas contribuições de que trata o crédito presumido </w:t>
            </w:r>
            <w:r w:rsidR="001363A6" w:rsidRPr="006E0B5A">
              <w:rPr>
                <w:rFonts w:ascii="Times New Roman" w:hAnsi="Times New Roman" w:cs="Times New Roman"/>
                <w:sz w:val="28"/>
                <w:szCs w:val="28"/>
              </w:rPr>
              <w:t>para produção do polietileno verde</w:t>
            </w:r>
            <w:r w:rsidR="00454289">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32</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B22872">
            <w:pPr>
              <w:pStyle w:val="Default"/>
              <w:jc w:val="both"/>
              <w:rPr>
                <w:rFonts w:ascii="Times New Roman" w:hAnsi="Times New Roman" w:cs="Times New Roman"/>
                <w:sz w:val="28"/>
                <w:szCs w:val="28"/>
              </w:rPr>
            </w:pPr>
            <w:r>
              <w:rPr>
                <w:rFonts w:ascii="Times New Roman" w:hAnsi="Times New Roman" w:cs="Times New Roman"/>
                <w:sz w:val="28"/>
                <w:szCs w:val="28"/>
              </w:rPr>
              <w:t>Exclui</w:t>
            </w:r>
            <w:r w:rsidR="00B22872">
              <w:rPr>
                <w:rFonts w:ascii="Times New Roman" w:hAnsi="Times New Roman" w:cs="Times New Roman"/>
                <w:sz w:val="28"/>
                <w:szCs w:val="28"/>
              </w:rPr>
              <w:t xml:space="preserve">, nas hipóteses </w:t>
            </w:r>
            <w:r w:rsidR="001363A6" w:rsidRPr="006E0B5A">
              <w:rPr>
                <w:rFonts w:ascii="Times New Roman" w:hAnsi="Times New Roman" w:cs="Times New Roman"/>
                <w:sz w:val="28"/>
                <w:szCs w:val="28"/>
              </w:rPr>
              <w:t>de incorporação, fusão ou cisão, para fins de apuração do lucro real dos períodos de apuração subsequentes o saldo do referido ágio existente na contabilidade, à razão de 1/60 (um sessenta avos), no máximo, para cada mês do período de apuração.</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33</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8A717C" w:rsidP="008A717C">
            <w:pPr>
              <w:pStyle w:val="Default"/>
              <w:jc w:val="both"/>
              <w:rPr>
                <w:rFonts w:ascii="Times New Roman" w:hAnsi="Times New Roman" w:cs="Times New Roman"/>
                <w:sz w:val="28"/>
                <w:szCs w:val="28"/>
              </w:rPr>
            </w:pPr>
            <w:r>
              <w:rPr>
                <w:rFonts w:ascii="Times New Roman" w:hAnsi="Times New Roman" w:cs="Times New Roman"/>
                <w:sz w:val="28"/>
                <w:szCs w:val="28"/>
              </w:rPr>
              <w:t xml:space="preserve">Altera </w:t>
            </w:r>
            <w:r w:rsidR="001363A6" w:rsidRPr="006E0B5A">
              <w:rPr>
                <w:rFonts w:ascii="Times New Roman" w:hAnsi="Times New Roman" w:cs="Times New Roman"/>
                <w:sz w:val="28"/>
                <w:szCs w:val="28"/>
              </w:rPr>
              <w:t>a Lei nº 8.112, 11 de dezembro de 1990, para incluir entidades do Serviço Social Autônomo como entes passíveis de receber a cessão de servidores públicos regidos pelo diploma legal.</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34</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DD7958" w:rsidP="00DD7958">
            <w:pPr>
              <w:pStyle w:val="Default"/>
              <w:jc w:val="both"/>
              <w:rPr>
                <w:rFonts w:ascii="Times New Roman" w:hAnsi="Times New Roman" w:cs="Times New Roman"/>
                <w:sz w:val="28"/>
                <w:szCs w:val="28"/>
              </w:rPr>
            </w:pPr>
            <w:r>
              <w:rPr>
                <w:rFonts w:ascii="Times New Roman" w:hAnsi="Times New Roman" w:cs="Times New Roman"/>
                <w:sz w:val="28"/>
                <w:szCs w:val="28"/>
              </w:rPr>
              <w:t xml:space="preserve">Prevê que a </w:t>
            </w:r>
            <w:r w:rsidR="001363A6" w:rsidRPr="006E0B5A">
              <w:rPr>
                <w:rFonts w:ascii="Times New Roman" w:hAnsi="Times New Roman" w:cs="Times New Roman"/>
                <w:sz w:val="28"/>
                <w:szCs w:val="28"/>
              </w:rPr>
              <w:t>utilização de prejuízos fiscais e de base negativa da CSLL entre empresas controladoras e controladas, na forma e para os fins tratados no artigo 33 da Lei 13.043, de 13 de novembro de 2014, não gera efeitos tributários para fins de imposto de renda e contribuição social sobre o lucro líquido.</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35</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FF6123" w:rsidP="0067135F">
            <w:pPr>
              <w:pStyle w:val="Default"/>
              <w:jc w:val="both"/>
              <w:rPr>
                <w:rFonts w:ascii="Times New Roman" w:hAnsi="Times New Roman" w:cs="Times New Roman"/>
                <w:sz w:val="28"/>
                <w:szCs w:val="28"/>
              </w:rPr>
            </w:pPr>
            <w:r>
              <w:rPr>
                <w:rFonts w:ascii="Times New Roman" w:hAnsi="Times New Roman" w:cs="Times New Roman"/>
                <w:sz w:val="28"/>
                <w:szCs w:val="28"/>
              </w:rPr>
              <w:t>Autoriza</w:t>
            </w:r>
            <w:r w:rsidR="001363A6" w:rsidRPr="006E0B5A">
              <w:rPr>
                <w:rFonts w:ascii="Times New Roman" w:hAnsi="Times New Roman" w:cs="Times New Roman"/>
                <w:sz w:val="28"/>
                <w:szCs w:val="28"/>
              </w:rPr>
              <w:t xml:space="preserve"> a concessão de subvenção com a finalidade de promover a equalização de juros para as empresas industriais exportadores, visando a manter a competitividade da indústria de exportação brasileira de produtos manufaturados, que necessitam de capital intensivo.</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36</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FF6123" w:rsidP="0067135F">
            <w:pPr>
              <w:pStyle w:val="Default"/>
              <w:jc w:val="both"/>
              <w:rPr>
                <w:rFonts w:ascii="Times New Roman" w:hAnsi="Times New Roman" w:cs="Times New Roman"/>
                <w:sz w:val="28"/>
                <w:szCs w:val="28"/>
              </w:rPr>
            </w:pPr>
            <w:r>
              <w:rPr>
                <w:rFonts w:ascii="Times New Roman" w:hAnsi="Times New Roman" w:cs="Times New Roman"/>
                <w:sz w:val="28"/>
                <w:szCs w:val="28"/>
              </w:rPr>
              <w:t>Estabelece</w:t>
            </w:r>
            <w:r w:rsidR="001363A6" w:rsidRPr="006E0B5A">
              <w:rPr>
                <w:rFonts w:ascii="Times New Roman" w:hAnsi="Times New Roman" w:cs="Times New Roman"/>
                <w:sz w:val="28"/>
                <w:szCs w:val="28"/>
              </w:rPr>
              <w:t xml:space="preserve"> margem de preferência de até 25% (vinte e cinco por cento) sobre o preço dos produtos e serviços estrangeiros nas compras do setor público como instrumento de incentivo aos produtos nacionais.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37</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FF6123" w:rsidP="0067135F">
            <w:pPr>
              <w:pStyle w:val="Default"/>
              <w:jc w:val="both"/>
              <w:rPr>
                <w:rFonts w:ascii="Times New Roman" w:hAnsi="Times New Roman" w:cs="Times New Roman"/>
                <w:sz w:val="28"/>
                <w:szCs w:val="28"/>
              </w:rPr>
            </w:pPr>
            <w:r>
              <w:rPr>
                <w:rFonts w:ascii="Times New Roman" w:hAnsi="Times New Roman" w:cs="Times New Roman"/>
                <w:sz w:val="28"/>
                <w:szCs w:val="28"/>
              </w:rPr>
              <w:t>Autoriza a administração</w:t>
            </w:r>
            <w:r w:rsidR="001363A6" w:rsidRPr="006E0B5A">
              <w:rPr>
                <w:rFonts w:ascii="Times New Roman" w:hAnsi="Times New Roman" w:cs="Times New Roman"/>
                <w:sz w:val="28"/>
                <w:szCs w:val="28"/>
              </w:rPr>
              <w:t xml:space="preserve"> a declarar urgência e imitir-se automaticamente na posse do bem, independentemente de ordem judicial, desde que efetue, em favor do expropriado e previamente ao ato de imissão de posse, o depósito do valor do bem em instituição bancária pública</w:t>
            </w:r>
            <w:r>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38</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FF6123" w:rsidP="00FF6123">
            <w:pPr>
              <w:pStyle w:val="Default"/>
              <w:jc w:val="both"/>
              <w:rPr>
                <w:rFonts w:ascii="Times New Roman" w:hAnsi="Times New Roman" w:cs="Times New Roman"/>
                <w:sz w:val="28"/>
                <w:szCs w:val="28"/>
              </w:rPr>
            </w:pPr>
            <w:r>
              <w:rPr>
                <w:rFonts w:ascii="Times New Roman" w:hAnsi="Times New Roman" w:cs="Times New Roman"/>
                <w:sz w:val="28"/>
                <w:szCs w:val="28"/>
              </w:rPr>
              <w:t>Permite o parcelamento de</w:t>
            </w:r>
            <w:r w:rsidR="001363A6" w:rsidRPr="006E0B5A">
              <w:rPr>
                <w:rFonts w:ascii="Times New Roman" w:hAnsi="Times New Roman" w:cs="Times New Roman"/>
                <w:sz w:val="28"/>
                <w:szCs w:val="28"/>
              </w:rPr>
              <w:t xml:space="preserve"> débitos com a Fazenda Nacional, em 120 (cento e vinte) parcelas mensais e consecutivas, com redução de 70% (setenta por cento) das multas de mora e de ofício, de 25% (vinte e cinco por cento) das isoladas, de 30% (trinta por cento) dos juros de mora e de 100% (cem por cento) sobre o valor do encargo legal e honorários advocatícios, </w:t>
            </w:r>
            <w:r>
              <w:rPr>
                <w:rFonts w:ascii="Times New Roman" w:hAnsi="Times New Roman" w:cs="Times New Roman"/>
                <w:sz w:val="28"/>
                <w:szCs w:val="28"/>
              </w:rPr>
              <w:t>nas hipóteses de que trata</w:t>
            </w:r>
            <w:r w:rsidR="001363A6" w:rsidRPr="006E0B5A">
              <w:rPr>
                <w:rFonts w:ascii="Times New Roman" w:hAnsi="Times New Roman" w:cs="Times New Roman"/>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39</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363A6" w:rsidP="0067135F">
            <w:pPr>
              <w:pStyle w:val="Default"/>
              <w:jc w:val="both"/>
              <w:rPr>
                <w:rFonts w:ascii="Times New Roman" w:hAnsi="Times New Roman" w:cs="Times New Roman"/>
                <w:sz w:val="28"/>
                <w:szCs w:val="28"/>
              </w:rPr>
            </w:pPr>
          </w:p>
          <w:p w:rsidR="001363A6" w:rsidRPr="006E0B5A" w:rsidRDefault="0055776E" w:rsidP="0055776E">
            <w:pPr>
              <w:pStyle w:val="Default"/>
              <w:jc w:val="both"/>
              <w:rPr>
                <w:rFonts w:ascii="Times New Roman" w:hAnsi="Times New Roman" w:cs="Times New Roman"/>
                <w:sz w:val="28"/>
                <w:szCs w:val="28"/>
              </w:rPr>
            </w:pPr>
            <w:r>
              <w:rPr>
                <w:rFonts w:ascii="Times New Roman" w:hAnsi="Times New Roman" w:cs="Times New Roman"/>
                <w:sz w:val="28"/>
                <w:szCs w:val="28"/>
              </w:rPr>
              <w:t>Reduz</w:t>
            </w:r>
            <w:r w:rsidR="001363A6" w:rsidRPr="006E0B5A">
              <w:rPr>
                <w:rFonts w:ascii="Times New Roman" w:hAnsi="Times New Roman" w:cs="Times New Roman"/>
                <w:sz w:val="28"/>
                <w:szCs w:val="28"/>
              </w:rPr>
              <w:t xml:space="preserve"> a 0 (zero) as alíquotas da contribuição para o PIS/PASEP e da Contribuição para o Financiamento da Seguridade Social - COFINS e IPI Imposto sobre produtos Industrializados incidentes na comercialização de equipamentos para cogeração de energia de origem nacional ou importada que utilizam gás natural como fonte primária, classificados nos códigos 8407.34.90, 8407.90.90, 84411.22.00, 8411.8, 8411.81.00, 8411.82.00 e 8418.69.91 da Tabela de Incidência de Imposto sobre Produtos industrializados - TIPI.</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40</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9906CE">
            <w:pPr>
              <w:pStyle w:val="Default"/>
              <w:jc w:val="both"/>
              <w:rPr>
                <w:rFonts w:ascii="Times New Roman" w:hAnsi="Times New Roman" w:cs="Times New Roman"/>
                <w:iCs/>
                <w:sz w:val="28"/>
                <w:szCs w:val="28"/>
              </w:rPr>
            </w:pPr>
            <w:r>
              <w:rPr>
                <w:rFonts w:ascii="Times New Roman" w:hAnsi="Times New Roman" w:cs="Times New Roman"/>
                <w:iCs/>
                <w:sz w:val="28"/>
                <w:szCs w:val="28"/>
              </w:rPr>
              <w:t>Prevê</w:t>
            </w:r>
            <w:r w:rsidR="009906CE">
              <w:rPr>
                <w:rFonts w:ascii="Times New Roman" w:hAnsi="Times New Roman" w:cs="Times New Roman"/>
                <w:iCs/>
                <w:sz w:val="28"/>
                <w:szCs w:val="28"/>
              </w:rPr>
              <w:t xml:space="preserve"> que o</w:t>
            </w:r>
            <w:r w:rsidR="001363A6" w:rsidRPr="006E0B5A">
              <w:rPr>
                <w:rFonts w:ascii="Times New Roman" w:hAnsi="Times New Roman" w:cs="Times New Roman"/>
                <w:iCs/>
                <w:sz w:val="28"/>
                <w:szCs w:val="28"/>
              </w:rPr>
              <w:t>s contratos de fornecimento de energia elétrica celebrados entre concessionárias geradoras de serviço púb</w:t>
            </w:r>
            <w:r w:rsidR="009906CE">
              <w:rPr>
                <w:rFonts w:ascii="Times New Roman" w:hAnsi="Times New Roman" w:cs="Times New Roman"/>
                <w:iCs/>
                <w:sz w:val="28"/>
                <w:szCs w:val="28"/>
              </w:rPr>
              <w:t xml:space="preserve">lico, com consumidores finais, sejam </w:t>
            </w:r>
            <w:r w:rsidR="001363A6" w:rsidRPr="006E0B5A">
              <w:rPr>
                <w:rFonts w:ascii="Times New Roman" w:hAnsi="Times New Roman" w:cs="Times New Roman"/>
                <w:iCs/>
                <w:sz w:val="28"/>
                <w:szCs w:val="28"/>
              </w:rPr>
              <w:t xml:space="preserve"> aditados para vigorar de 1º de julho de 2015 até 31 de dezembro de 2042</w:t>
            </w:r>
            <w:r w:rsidR="009906CE">
              <w:rPr>
                <w:rFonts w:ascii="Times New Roman" w:hAnsi="Times New Roman" w:cs="Times New Roman"/>
                <w:iCs/>
                <w:sz w:val="28"/>
                <w:szCs w:val="28"/>
              </w:rPr>
              <w:t>.</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41</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9147A0" w:rsidP="0067135F">
            <w:pPr>
              <w:pStyle w:val="Default"/>
              <w:jc w:val="both"/>
              <w:rPr>
                <w:rFonts w:ascii="Times New Roman" w:hAnsi="Times New Roman" w:cs="Times New Roman"/>
                <w:sz w:val="28"/>
                <w:szCs w:val="28"/>
              </w:rPr>
            </w:pPr>
            <w:r>
              <w:rPr>
                <w:rFonts w:ascii="Times New Roman" w:hAnsi="Times New Roman" w:cs="Times New Roman"/>
                <w:sz w:val="28"/>
                <w:szCs w:val="28"/>
              </w:rPr>
              <w:t>Confere</w:t>
            </w:r>
            <w:r w:rsidR="001363A6" w:rsidRPr="006E0B5A">
              <w:rPr>
                <w:rFonts w:ascii="Times New Roman" w:hAnsi="Times New Roman" w:cs="Times New Roman"/>
                <w:sz w:val="28"/>
                <w:szCs w:val="28"/>
              </w:rPr>
              <w:t xml:space="preserve"> aos créditos do PIS e da COFINS sobre os bens cl</w:t>
            </w:r>
            <w:r>
              <w:rPr>
                <w:rFonts w:ascii="Times New Roman" w:hAnsi="Times New Roman" w:cs="Times New Roman"/>
                <w:sz w:val="28"/>
                <w:szCs w:val="28"/>
              </w:rPr>
              <w:t>assificados no ativo intangível</w:t>
            </w:r>
            <w:r w:rsidR="001363A6" w:rsidRPr="006E0B5A">
              <w:rPr>
                <w:rFonts w:ascii="Times New Roman" w:hAnsi="Times New Roman" w:cs="Times New Roman"/>
                <w:sz w:val="28"/>
                <w:szCs w:val="28"/>
              </w:rPr>
              <w:t xml:space="preserve"> regra semelhante à existente para apropriação de créditos decorrentes das aquisições de bens para o ativo imobilizado, adequando a legislação das contribuições às novas regras contábeis brasileiras.</w:t>
            </w:r>
          </w:p>
          <w:p w:rsidR="001363A6" w:rsidRPr="006E0B5A" w:rsidRDefault="001363A6" w:rsidP="0067135F">
            <w:pPr>
              <w:pStyle w:val="Default"/>
              <w:jc w:val="both"/>
              <w:rPr>
                <w:rFonts w:ascii="Times New Roman" w:hAnsi="Times New Roman" w:cs="Times New Roman"/>
                <w:sz w:val="28"/>
                <w:szCs w:val="28"/>
              </w:rPr>
            </w:pP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42</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Sen. </w:t>
            </w:r>
            <w:r w:rsidRPr="006E0B5A">
              <w:rPr>
                <w:rFonts w:ascii="Times New Roman" w:hAnsi="Times New Roman" w:cs="Times New Roman"/>
                <w:sz w:val="28"/>
                <w:szCs w:val="28"/>
              </w:rPr>
              <w:t>Romero Jucá</w:t>
            </w:r>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BD13BB" w:rsidP="0067135F">
            <w:pPr>
              <w:pStyle w:val="Default"/>
              <w:jc w:val="both"/>
              <w:rPr>
                <w:rFonts w:ascii="Times New Roman" w:hAnsi="Times New Roman" w:cs="Times New Roman"/>
                <w:sz w:val="28"/>
                <w:szCs w:val="28"/>
              </w:rPr>
            </w:pPr>
            <w:r>
              <w:rPr>
                <w:rFonts w:ascii="Times New Roman" w:hAnsi="Times New Roman" w:cs="Times New Roman"/>
                <w:sz w:val="28"/>
                <w:szCs w:val="28"/>
              </w:rPr>
              <w:t>Prevê que o benefício</w:t>
            </w:r>
            <w:r w:rsidR="001363A6" w:rsidRPr="006E0B5A">
              <w:rPr>
                <w:rFonts w:ascii="Times New Roman" w:hAnsi="Times New Roman" w:cs="Times New Roman"/>
                <w:sz w:val="28"/>
                <w:szCs w:val="28"/>
              </w:rPr>
              <w:t xml:space="preserve"> da REIDI (Regime Especial de Incentivos para o Desenvolvimento da </w:t>
            </w:r>
            <w:proofErr w:type="spellStart"/>
            <w:r w:rsidR="001363A6" w:rsidRPr="006E0B5A">
              <w:rPr>
                <w:rFonts w:ascii="Times New Roman" w:hAnsi="Times New Roman" w:cs="Times New Roman"/>
                <w:sz w:val="28"/>
                <w:szCs w:val="28"/>
              </w:rPr>
              <w:t>Infra-Estrutura</w:t>
            </w:r>
            <w:proofErr w:type="spellEnd"/>
            <w:r w:rsidR="001363A6" w:rsidRPr="006E0B5A">
              <w:rPr>
                <w:rFonts w:ascii="Times New Roman" w:hAnsi="Times New Roman" w:cs="Times New Roman"/>
                <w:sz w:val="28"/>
                <w:szCs w:val="28"/>
              </w:rPr>
              <w:t xml:space="preserve">) poderá ser usufruído pela pessoa jurídica habilitada ou </w:t>
            </w:r>
            <w:proofErr w:type="spellStart"/>
            <w:r w:rsidR="001363A6" w:rsidRPr="006E0B5A">
              <w:rPr>
                <w:rFonts w:ascii="Times New Roman" w:hAnsi="Times New Roman" w:cs="Times New Roman"/>
                <w:sz w:val="28"/>
                <w:szCs w:val="28"/>
              </w:rPr>
              <w:t>cohabilitada</w:t>
            </w:r>
            <w:proofErr w:type="spellEnd"/>
            <w:r w:rsidR="001363A6" w:rsidRPr="006E0B5A">
              <w:rPr>
                <w:rFonts w:ascii="Times New Roman" w:hAnsi="Times New Roman" w:cs="Times New Roman"/>
                <w:sz w:val="28"/>
                <w:szCs w:val="28"/>
              </w:rPr>
              <w:t xml:space="preserve"> nas aquisições e importações realizadas a partir da data de sua habilitação ou </w:t>
            </w:r>
            <w:proofErr w:type="spellStart"/>
            <w:r w:rsidR="001363A6" w:rsidRPr="006E0B5A">
              <w:rPr>
                <w:rFonts w:ascii="Times New Roman" w:hAnsi="Times New Roman" w:cs="Times New Roman"/>
                <w:sz w:val="28"/>
                <w:szCs w:val="28"/>
              </w:rPr>
              <w:t>cohabilitação</w:t>
            </w:r>
            <w:proofErr w:type="spellEnd"/>
            <w:r w:rsidR="001363A6" w:rsidRPr="006E0B5A">
              <w:rPr>
                <w:rFonts w:ascii="Times New Roman" w:hAnsi="Times New Roman" w:cs="Times New Roman"/>
                <w:sz w:val="28"/>
                <w:szCs w:val="28"/>
              </w:rPr>
              <w:t xml:space="preserve"> até a conclusão de sua participação no projeto aprovado.</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43</w:t>
            </w:r>
          </w:p>
        </w:tc>
        <w:tc>
          <w:tcPr>
            <w:tcW w:w="2651" w:type="dxa"/>
          </w:tcPr>
          <w:p w:rsidR="003478AB" w:rsidRDefault="003478AB" w:rsidP="000C1231">
            <w:pPr>
              <w:jc w:val="center"/>
              <w:rPr>
                <w:rFonts w:ascii="Times New Roman" w:hAnsi="Times New Roman" w:cs="Times New Roman"/>
                <w:sz w:val="28"/>
                <w:szCs w:val="28"/>
              </w:rPr>
            </w:pPr>
          </w:p>
          <w:p w:rsidR="003478AB" w:rsidRDefault="003478AB" w:rsidP="000C1231">
            <w:pPr>
              <w:jc w:val="center"/>
              <w:rPr>
                <w:rFonts w:ascii="Times New Roman" w:hAnsi="Times New Roman" w:cs="Times New Roman"/>
                <w:sz w:val="28"/>
                <w:szCs w:val="28"/>
              </w:rPr>
            </w:pPr>
          </w:p>
          <w:p w:rsidR="001363A6" w:rsidRPr="006E0B5A" w:rsidRDefault="006E0B5A" w:rsidP="000C1231">
            <w:pPr>
              <w:jc w:val="center"/>
              <w:rPr>
                <w:rFonts w:ascii="Times New Roman" w:hAnsi="Times New Roman" w:cs="Times New Roman"/>
                <w:bCs/>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Alfredo </w:t>
            </w:r>
            <w:proofErr w:type="spellStart"/>
            <w:r w:rsidR="001363A6" w:rsidRPr="006E0B5A">
              <w:rPr>
                <w:rFonts w:ascii="Times New Roman" w:hAnsi="Times New Roman" w:cs="Times New Roman"/>
                <w:sz w:val="28"/>
                <w:szCs w:val="28"/>
              </w:rPr>
              <w:t>Kaefer</w:t>
            </w:r>
            <w:proofErr w:type="spellEnd"/>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DF23CA" w:rsidP="00DF23CA">
            <w:pPr>
              <w:pStyle w:val="Default"/>
              <w:jc w:val="both"/>
              <w:rPr>
                <w:rFonts w:ascii="Times New Roman" w:hAnsi="Times New Roman" w:cs="Times New Roman"/>
                <w:sz w:val="28"/>
                <w:szCs w:val="28"/>
              </w:rPr>
            </w:pPr>
            <w:r>
              <w:rPr>
                <w:rFonts w:ascii="Times New Roman" w:hAnsi="Times New Roman" w:cs="Times New Roman"/>
                <w:sz w:val="28"/>
                <w:szCs w:val="28"/>
              </w:rPr>
              <w:t xml:space="preserve">Destina para projetos de agricultura, pecuária e serviços relacionados um mínimo de </w:t>
            </w:r>
            <w:r w:rsidR="001363A6" w:rsidRPr="006E0B5A">
              <w:rPr>
                <w:rFonts w:ascii="Times New Roman" w:hAnsi="Times New Roman" w:cs="Times New Roman"/>
                <w:sz w:val="28"/>
                <w:szCs w:val="28"/>
              </w:rPr>
              <w:t xml:space="preserve">20% dos financiamentos concedidos </w:t>
            </w:r>
            <w:r>
              <w:rPr>
                <w:rFonts w:ascii="Times New Roman" w:hAnsi="Times New Roman" w:cs="Times New Roman"/>
                <w:sz w:val="28"/>
                <w:szCs w:val="28"/>
              </w:rPr>
              <w:t xml:space="preserve">pelo BNDES.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44</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Alfredo </w:t>
            </w:r>
            <w:proofErr w:type="spellStart"/>
            <w:r w:rsidR="001363A6" w:rsidRPr="006E0B5A">
              <w:rPr>
                <w:rFonts w:ascii="Times New Roman" w:hAnsi="Times New Roman" w:cs="Times New Roman"/>
                <w:sz w:val="28"/>
                <w:szCs w:val="28"/>
              </w:rPr>
              <w:t>Kaefer</w:t>
            </w:r>
            <w:proofErr w:type="spellEnd"/>
          </w:p>
        </w:tc>
        <w:tc>
          <w:tcPr>
            <w:tcW w:w="6095" w:type="dxa"/>
          </w:tcPr>
          <w:p w:rsidR="001663A6" w:rsidRPr="006E0B5A" w:rsidRDefault="001663A6" w:rsidP="0067135F">
            <w:pPr>
              <w:jc w:val="both"/>
              <w:rPr>
                <w:rFonts w:ascii="Times New Roman" w:hAnsi="Times New Roman" w:cs="Times New Roman"/>
                <w:sz w:val="28"/>
                <w:szCs w:val="28"/>
              </w:rPr>
            </w:pPr>
          </w:p>
          <w:p w:rsidR="001363A6" w:rsidRPr="006E0B5A" w:rsidRDefault="00F15F78" w:rsidP="0067135F">
            <w:pPr>
              <w:jc w:val="both"/>
              <w:rPr>
                <w:rFonts w:ascii="Times New Roman" w:hAnsi="Times New Roman" w:cs="Times New Roman"/>
                <w:bCs/>
                <w:sz w:val="28"/>
                <w:szCs w:val="28"/>
              </w:rPr>
            </w:pPr>
            <w:r>
              <w:rPr>
                <w:rFonts w:ascii="Times New Roman" w:hAnsi="Times New Roman" w:cs="Times New Roman"/>
                <w:sz w:val="28"/>
                <w:szCs w:val="28"/>
              </w:rPr>
              <w:t>Destina, n</w:t>
            </w:r>
            <w:r w:rsidRPr="006E0B5A">
              <w:rPr>
                <w:rFonts w:ascii="Times New Roman" w:hAnsi="Times New Roman" w:cs="Times New Roman"/>
                <w:sz w:val="28"/>
                <w:szCs w:val="28"/>
              </w:rPr>
              <w:t xml:space="preserve">a concessão de financiamentos pelo BNDES, a taxa subsidiada, </w:t>
            </w:r>
            <w:r>
              <w:rPr>
                <w:rFonts w:ascii="Times New Roman" w:hAnsi="Times New Roman" w:cs="Times New Roman"/>
                <w:sz w:val="28"/>
                <w:szCs w:val="28"/>
              </w:rPr>
              <w:t xml:space="preserve">mínimo de 35% dos recursos às </w:t>
            </w:r>
            <w:r w:rsidRPr="006E0B5A">
              <w:rPr>
                <w:rFonts w:ascii="Times New Roman" w:hAnsi="Times New Roman" w:cs="Times New Roman"/>
                <w:sz w:val="28"/>
                <w:szCs w:val="28"/>
              </w:rPr>
              <w:t>micro e pequenas.</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lastRenderedPageBreak/>
              <w:t>45</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Alfredo </w:t>
            </w:r>
            <w:proofErr w:type="spellStart"/>
            <w:r w:rsidR="001363A6" w:rsidRPr="006E0B5A">
              <w:rPr>
                <w:rFonts w:ascii="Times New Roman" w:hAnsi="Times New Roman" w:cs="Times New Roman"/>
                <w:sz w:val="28"/>
                <w:szCs w:val="28"/>
              </w:rPr>
              <w:t>Kaefer</w:t>
            </w:r>
            <w:proofErr w:type="spellEnd"/>
          </w:p>
        </w:tc>
        <w:tc>
          <w:tcPr>
            <w:tcW w:w="6095" w:type="dxa"/>
          </w:tcPr>
          <w:p w:rsidR="001363A6" w:rsidRDefault="001363A6" w:rsidP="0067135F">
            <w:pPr>
              <w:jc w:val="both"/>
              <w:rPr>
                <w:rFonts w:ascii="Times New Roman" w:hAnsi="Times New Roman" w:cs="Times New Roman"/>
                <w:bCs/>
                <w:sz w:val="28"/>
                <w:szCs w:val="28"/>
              </w:rPr>
            </w:pPr>
          </w:p>
          <w:p w:rsidR="00A97F31" w:rsidRPr="006E0B5A" w:rsidRDefault="00A97F31" w:rsidP="0067135F">
            <w:pPr>
              <w:jc w:val="both"/>
              <w:rPr>
                <w:rFonts w:ascii="Times New Roman" w:hAnsi="Times New Roman" w:cs="Times New Roman"/>
                <w:bCs/>
                <w:sz w:val="28"/>
                <w:szCs w:val="28"/>
              </w:rPr>
            </w:pPr>
            <w:r>
              <w:rPr>
                <w:rFonts w:ascii="Times New Roman" w:hAnsi="Times New Roman" w:cs="Times New Roman"/>
                <w:bCs/>
                <w:sz w:val="28"/>
                <w:szCs w:val="28"/>
              </w:rPr>
              <w:t>Atribui ao Conselho Monetário Nacional a competência para garantir, quando houver alteração nas condições de financiamento</w:t>
            </w:r>
            <w:r w:rsidR="00AB5A27">
              <w:rPr>
                <w:rFonts w:ascii="Times New Roman" w:hAnsi="Times New Roman" w:cs="Times New Roman"/>
                <w:bCs/>
                <w:sz w:val="28"/>
                <w:szCs w:val="28"/>
              </w:rPr>
              <w:t xml:space="preserve">, que não haja redução da margem da subvenção de juros concedida ao mutuário final.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46</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Alfredo </w:t>
            </w:r>
            <w:proofErr w:type="spellStart"/>
            <w:r w:rsidR="001363A6" w:rsidRPr="006E0B5A">
              <w:rPr>
                <w:rFonts w:ascii="Times New Roman" w:hAnsi="Times New Roman" w:cs="Times New Roman"/>
                <w:sz w:val="28"/>
                <w:szCs w:val="28"/>
              </w:rPr>
              <w:t>Kaefer</w:t>
            </w:r>
            <w:proofErr w:type="spellEnd"/>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89666A" w:rsidP="0089666A">
            <w:pPr>
              <w:pStyle w:val="Default"/>
              <w:jc w:val="both"/>
              <w:rPr>
                <w:rFonts w:ascii="Times New Roman" w:hAnsi="Times New Roman" w:cs="Times New Roman"/>
                <w:bCs/>
                <w:iCs/>
                <w:sz w:val="28"/>
                <w:szCs w:val="28"/>
              </w:rPr>
            </w:pPr>
            <w:r>
              <w:rPr>
                <w:rFonts w:ascii="Times New Roman" w:hAnsi="Times New Roman" w:cs="Times New Roman"/>
                <w:bCs/>
                <w:iCs/>
                <w:sz w:val="28"/>
                <w:szCs w:val="28"/>
              </w:rPr>
              <w:t xml:space="preserve">Autoriza os agentes financeiros, nas operações indiretas realizadas pelo BNDES, a </w:t>
            </w:r>
            <w:r w:rsidR="001363A6" w:rsidRPr="006E0B5A">
              <w:rPr>
                <w:rFonts w:ascii="Times New Roman" w:hAnsi="Times New Roman" w:cs="Times New Roman"/>
                <w:bCs/>
                <w:iCs/>
                <w:sz w:val="28"/>
                <w:szCs w:val="28"/>
              </w:rPr>
              <w:t>complementar a parcela de recursos não financiada pelo Banco, até o limite de 90% do valor total da operação, caso em que o Conselho Monetário Nacional poderá admitir um aumento nas taxas de remuneração desses agentes, até o máximo de um ponto percentual.</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47</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Alfredo </w:t>
            </w:r>
            <w:proofErr w:type="spellStart"/>
            <w:r w:rsidR="001363A6" w:rsidRPr="006E0B5A">
              <w:rPr>
                <w:rFonts w:ascii="Times New Roman" w:hAnsi="Times New Roman" w:cs="Times New Roman"/>
                <w:sz w:val="28"/>
                <w:szCs w:val="28"/>
              </w:rPr>
              <w:t>Kaefer</w:t>
            </w:r>
            <w:proofErr w:type="spellEnd"/>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1C72DD">
            <w:pPr>
              <w:pStyle w:val="Default"/>
              <w:jc w:val="both"/>
              <w:rPr>
                <w:rFonts w:ascii="Times New Roman" w:hAnsi="Times New Roman" w:cs="Times New Roman"/>
                <w:bCs/>
                <w:sz w:val="28"/>
                <w:szCs w:val="28"/>
              </w:rPr>
            </w:pPr>
            <w:r>
              <w:rPr>
                <w:rFonts w:ascii="Times New Roman" w:hAnsi="Times New Roman" w:cs="Times New Roman"/>
                <w:bCs/>
                <w:sz w:val="28"/>
                <w:szCs w:val="28"/>
              </w:rPr>
              <w:t xml:space="preserve">Prorroga até 31 de dezembro de 2017 o prazo limite para contratação de financiamento ao amparo do Programa de Sustentação do Investimento. </w:t>
            </w:r>
          </w:p>
        </w:tc>
      </w:tr>
      <w:tr w:rsidR="001363A6" w:rsidRPr="0067135F" w:rsidTr="000C1231">
        <w:tc>
          <w:tcPr>
            <w:tcW w:w="576" w:type="dxa"/>
            <w:vAlign w:val="center"/>
          </w:tcPr>
          <w:p w:rsidR="001363A6" w:rsidRPr="006E0B5A" w:rsidRDefault="001363A6" w:rsidP="009C092D">
            <w:pPr>
              <w:spacing w:before="240"/>
              <w:jc w:val="center"/>
              <w:rPr>
                <w:rFonts w:ascii="Times New Roman" w:hAnsi="Times New Roman" w:cs="Times New Roman"/>
                <w:sz w:val="28"/>
                <w:szCs w:val="28"/>
              </w:rPr>
            </w:pPr>
            <w:r w:rsidRPr="006E0B5A">
              <w:rPr>
                <w:rFonts w:ascii="Times New Roman" w:hAnsi="Times New Roman" w:cs="Times New Roman"/>
                <w:sz w:val="28"/>
                <w:szCs w:val="28"/>
              </w:rPr>
              <w:t>48</w:t>
            </w:r>
          </w:p>
        </w:tc>
        <w:tc>
          <w:tcPr>
            <w:tcW w:w="2651" w:type="dxa"/>
            <w:vAlign w:val="center"/>
          </w:tcPr>
          <w:p w:rsidR="001363A6" w:rsidRPr="006E0B5A" w:rsidRDefault="006E0B5A" w:rsidP="000C1231">
            <w:pPr>
              <w:spacing w:before="240"/>
              <w:jc w:val="center"/>
              <w:rPr>
                <w:rFonts w:ascii="Times New Roman" w:hAnsi="Times New Roman" w:cs="Times New Roman"/>
                <w:sz w:val="28"/>
                <w:szCs w:val="28"/>
              </w:rPr>
            </w:pPr>
            <w:r>
              <w:rPr>
                <w:rFonts w:ascii="Times New Roman" w:hAnsi="Times New Roman" w:cs="Times New Roman"/>
                <w:sz w:val="28"/>
                <w:szCs w:val="28"/>
              </w:rPr>
              <w:t xml:space="preserve">Dep. </w:t>
            </w:r>
            <w:r w:rsidR="001363A6" w:rsidRPr="006E0B5A">
              <w:rPr>
                <w:rFonts w:ascii="Times New Roman" w:hAnsi="Times New Roman" w:cs="Times New Roman"/>
                <w:sz w:val="28"/>
                <w:szCs w:val="28"/>
              </w:rPr>
              <w:t xml:space="preserve">Alfredo </w:t>
            </w:r>
            <w:proofErr w:type="spellStart"/>
            <w:r w:rsidR="001363A6" w:rsidRPr="006E0B5A">
              <w:rPr>
                <w:rFonts w:ascii="Times New Roman" w:hAnsi="Times New Roman" w:cs="Times New Roman"/>
                <w:sz w:val="28"/>
                <w:szCs w:val="28"/>
              </w:rPr>
              <w:t>Kaefer</w:t>
            </w:r>
            <w:proofErr w:type="spellEnd"/>
          </w:p>
        </w:tc>
        <w:tc>
          <w:tcPr>
            <w:tcW w:w="6095" w:type="dxa"/>
            <w:vAlign w:val="center"/>
          </w:tcPr>
          <w:p w:rsidR="001363A6" w:rsidRPr="006E0B5A" w:rsidRDefault="001363A6" w:rsidP="0067135F">
            <w:pPr>
              <w:pStyle w:val="Default"/>
              <w:jc w:val="both"/>
              <w:rPr>
                <w:rFonts w:ascii="Times New Roman" w:hAnsi="Times New Roman" w:cs="Times New Roman"/>
                <w:sz w:val="28"/>
                <w:szCs w:val="28"/>
              </w:rPr>
            </w:pPr>
          </w:p>
          <w:p w:rsidR="001363A6" w:rsidRPr="006E0B5A" w:rsidRDefault="001C72DD" w:rsidP="0067135F">
            <w:pPr>
              <w:pStyle w:val="Default"/>
              <w:jc w:val="both"/>
              <w:rPr>
                <w:rFonts w:ascii="Times New Roman" w:hAnsi="Times New Roman" w:cs="Times New Roman"/>
                <w:sz w:val="28"/>
                <w:szCs w:val="28"/>
              </w:rPr>
            </w:pPr>
            <w:r>
              <w:rPr>
                <w:rFonts w:ascii="Times New Roman" w:hAnsi="Times New Roman" w:cs="Times New Roman"/>
                <w:bCs/>
                <w:iCs/>
                <w:sz w:val="28"/>
                <w:szCs w:val="28"/>
              </w:rPr>
              <w:t>Prevê que, n</w:t>
            </w:r>
            <w:r w:rsidR="001363A6" w:rsidRPr="006E0B5A">
              <w:rPr>
                <w:rFonts w:ascii="Times New Roman" w:hAnsi="Times New Roman" w:cs="Times New Roman"/>
                <w:bCs/>
                <w:iCs/>
                <w:sz w:val="28"/>
                <w:szCs w:val="28"/>
              </w:rPr>
              <w:t>as operações indiretas realizadas pelo BNDES, o banco repassará os recursos aqueles agentes financeiros autorizados que se propuserem a complementar a parcela de recursos não financiada pelo BNDES, até o limite de 90% do valor total da operação, caso em que o Conselho Monetário Nacional poderá admitir um aumento nas taxas de remuneração desses agentes, até o máximo de um ponto percentual.</w:t>
            </w:r>
          </w:p>
          <w:p w:rsidR="001363A6" w:rsidRPr="006E0B5A" w:rsidRDefault="001363A6" w:rsidP="0067135F">
            <w:pPr>
              <w:pStyle w:val="Default"/>
              <w:jc w:val="both"/>
              <w:rPr>
                <w:rFonts w:ascii="Times New Roman" w:hAnsi="Times New Roman" w:cs="Times New Roman"/>
                <w:sz w:val="28"/>
                <w:szCs w:val="28"/>
              </w:rPr>
            </w:pPr>
          </w:p>
        </w:tc>
      </w:tr>
    </w:tbl>
    <w:p w:rsidR="00FC397A" w:rsidRPr="0067135F" w:rsidRDefault="00FC397A" w:rsidP="0067135F">
      <w:pPr>
        <w:spacing w:line="240" w:lineRule="auto"/>
        <w:ind w:firstLine="708"/>
        <w:jc w:val="both"/>
        <w:rPr>
          <w:rFonts w:ascii="Times New Roman" w:hAnsi="Times New Roman" w:cs="Times New Roman"/>
          <w:bCs/>
          <w:sz w:val="28"/>
          <w:szCs w:val="28"/>
        </w:rPr>
      </w:pPr>
    </w:p>
    <w:p w:rsidR="000333C9" w:rsidRPr="0067135F" w:rsidRDefault="000333C9" w:rsidP="0067135F">
      <w:pPr>
        <w:spacing w:line="240" w:lineRule="auto"/>
        <w:ind w:firstLine="708"/>
        <w:jc w:val="both"/>
        <w:rPr>
          <w:rFonts w:ascii="Times New Roman" w:hAnsi="Times New Roman" w:cs="Times New Roman"/>
          <w:bCs/>
          <w:sz w:val="28"/>
          <w:szCs w:val="28"/>
        </w:rPr>
      </w:pPr>
    </w:p>
    <w:p w:rsidR="00BD1CC8" w:rsidRPr="00711EDA" w:rsidRDefault="00BD1CC8" w:rsidP="0067135F">
      <w:pPr>
        <w:spacing w:line="240" w:lineRule="auto"/>
        <w:jc w:val="both"/>
        <w:rPr>
          <w:rFonts w:ascii="Times New Roman" w:hAnsi="Times New Roman" w:cs="Times New Roman"/>
          <w:b/>
          <w:bCs/>
          <w:sz w:val="32"/>
          <w:szCs w:val="32"/>
        </w:rPr>
      </w:pPr>
      <w:r w:rsidRPr="00711EDA">
        <w:rPr>
          <w:rFonts w:ascii="Times New Roman" w:hAnsi="Times New Roman" w:cs="Times New Roman"/>
          <w:b/>
          <w:bCs/>
          <w:sz w:val="32"/>
          <w:szCs w:val="32"/>
        </w:rPr>
        <w:t>I</w:t>
      </w:r>
      <w:r w:rsidR="001663A6" w:rsidRPr="00711EDA">
        <w:rPr>
          <w:rFonts w:ascii="Times New Roman" w:hAnsi="Times New Roman" w:cs="Times New Roman"/>
          <w:b/>
          <w:bCs/>
          <w:sz w:val="32"/>
          <w:szCs w:val="32"/>
        </w:rPr>
        <w:t>I</w:t>
      </w:r>
      <w:r w:rsidRPr="00711EDA">
        <w:rPr>
          <w:rFonts w:ascii="Times New Roman" w:hAnsi="Times New Roman" w:cs="Times New Roman"/>
          <w:b/>
          <w:bCs/>
          <w:sz w:val="32"/>
          <w:szCs w:val="32"/>
        </w:rPr>
        <w:t xml:space="preserve"> – </w:t>
      </w:r>
      <w:r w:rsidR="00077807">
        <w:rPr>
          <w:rFonts w:ascii="Times New Roman" w:hAnsi="Times New Roman" w:cs="Times New Roman"/>
          <w:b/>
          <w:bCs/>
          <w:sz w:val="32"/>
          <w:szCs w:val="32"/>
        </w:rPr>
        <w:t>ANÁLISE</w:t>
      </w:r>
    </w:p>
    <w:p w:rsidR="00BD1CC8" w:rsidRPr="0067135F" w:rsidRDefault="00BD1CC8" w:rsidP="0067135F">
      <w:pPr>
        <w:spacing w:line="240" w:lineRule="auto"/>
        <w:jc w:val="both"/>
        <w:rPr>
          <w:rFonts w:ascii="Times New Roman" w:hAnsi="Times New Roman" w:cs="Times New Roman"/>
          <w:b/>
          <w:bCs/>
          <w:i/>
          <w:sz w:val="28"/>
          <w:szCs w:val="28"/>
        </w:rPr>
      </w:pPr>
    </w:p>
    <w:p w:rsidR="000A43F8" w:rsidRDefault="00A0686B" w:rsidP="007D6B86">
      <w:pPr>
        <w:pStyle w:val="04-PargrafodetextoEstudoNotas-CLG"/>
        <w:spacing w:line="276" w:lineRule="auto"/>
        <w:ind w:firstLine="1170"/>
      </w:pPr>
      <w:r>
        <w:t>Como é de amplo conhecimento, a chave para o crescimento econômico e sustentável de longo prazo em qualquer país é o aporte de investimentos</w:t>
      </w:r>
      <w:r w:rsidR="00966491">
        <w:t xml:space="preserve"> produtivos</w:t>
      </w:r>
      <w:r w:rsidR="00884BC2">
        <w:t>, medido</w:t>
      </w:r>
      <w:r w:rsidR="002F4D8C">
        <w:t xml:space="preserve"> por meio da Formação Bruta de Capital Fixo (FBCF), na economia nacional. </w:t>
      </w:r>
      <w:r w:rsidR="00884BC2">
        <w:t xml:space="preserve">O Brasil, no entanto, possui carências significativas na oferta de capital de longo prazo e a taxas financeiras sustentáveis. Esse fato tem causado enorme impacto na competitividade da </w:t>
      </w:r>
      <w:r w:rsidR="00884BC2">
        <w:lastRenderedPageBreak/>
        <w:t xml:space="preserve">indústria nacional. </w:t>
      </w:r>
      <w:r w:rsidR="002F4D8C">
        <w:t xml:space="preserve">O nível adequado de investimentos, </w:t>
      </w:r>
      <w:r w:rsidR="00884BC2">
        <w:t>todavia,</w:t>
      </w:r>
      <w:r w:rsidR="002F4D8C">
        <w:t xml:space="preserve"> só é possível pela adequada oferta de capitais aos agentes econômicos, principalmente na modalidade de crédito e financiamentos à aquisição de produtos e serviços, bem como em projetos de infraestrutura. </w:t>
      </w:r>
    </w:p>
    <w:p w:rsidR="000A43F8" w:rsidRDefault="000A43F8" w:rsidP="007D6B86">
      <w:pPr>
        <w:pStyle w:val="04-PargrafodetextoEstudoNotas-CLG"/>
        <w:spacing w:line="276" w:lineRule="auto"/>
        <w:ind w:firstLine="1170"/>
      </w:pPr>
      <w:r>
        <w:t>Não b</w:t>
      </w:r>
      <w:r w:rsidR="002F4D8C">
        <w:t>astassem os desafios internos, a</w:t>
      </w:r>
      <w:r>
        <w:t xml:space="preserve"> crise financeira internacional de 2008 ocasionou severas restrições de crédito à economia brasileira.</w:t>
      </w:r>
      <w:r w:rsidRPr="000A43F8">
        <w:t xml:space="preserve"> </w:t>
      </w:r>
      <w:r>
        <w:t xml:space="preserve">Como forma de mitigar os graves efeitos sobre a atividade produtiva nacional, o Governo Federal lançou mão do seu principal </w:t>
      </w:r>
      <w:r w:rsidR="001016AE">
        <w:t>instrumento</w:t>
      </w:r>
      <w:r>
        <w:t xml:space="preserve"> de investimentos produtivos, o BNDES, para</w:t>
      </w:r>
      <w:r w:rsidR="001016AE">
        <w:t xml:space="preserve"> prover linhas de financiamento e estimular o mercado de bens de capital, a compra de máquinas e equipamentos e diversos projetos</w:t>
      </w:r>
      <w:r w:rsidR="00884BC2">
        <w:t xml:space="preserve"> estruturantes</w:t>
      </w:r>
      <w:r w:rsidR="001016AE">
        <w:t>. Essas medidas puderam</w:t>
      </w:r>
      <w:r w:rsidR="00884BC2">
        <w:t>,</w:t>
      </w:r>
      <w:r w:rsidR="001016AE">
        <w:t xml:space="preserve"> de forma exitosa</w:t>
      </w:r>
      <w:r w:rsidR="00884BC2">
        <w:t>,</w:t>
      </w:r>
      <w:r>
        <w:t xml:space="preserve"> contrapor a escassez de recursos</w:t>
      </w:r>
      <w:r w:rsidR="001016AE">
        <w:t xml:space="preserve"> e a falta de confiança vigentes desde o ano de 2009. </w:t>
      </w:r>
    </w:p>
    <w:p w:rsidR="00562A8B" w:rsidRDefault="000A43F8" w:rsidP="007D6B86">
      <w:pPr>
        <w:pStyle w:val="04-PargrafodetextoEstudoNotas-CLG"/>
        <w:spacing w:line="276" w:lineRule="auto"/>
        <w:ind w:firstLine="1170"/>
      </w:pPr>
      <w:r>
        <w:t xml:space="preserve">Nesse sentido, foi estruturado o Programa de Sustentação do Investimento (PSI), com a edição da MPV n° 465, de 2009, com a finalidade de evitar que a interrupção da oferta creditícia colocasse em risco a recuperação do crescimento econômico, da renda e do emprego no país. </w:t>
      </w:r>
      <w:r w:rsidR="00D106BD">
        <w:t>O</w:t>
      </w:r>
      <w:r w:rsidR="009436F1">
        <w:t xml:space="preserve"> advento do </w:t>
      </w:r>
      <w:r>
        <w:t>Programa</w:t>
      </w:r>
      <w:r w:rsidR="009436F1">
        <w:t xml:space="preserve"> teve como objetivo</w:t>
      </w:r>
      <w:r w:rsidR="00937D89">
        <w:t xml:space="preserve"> suprir essa necessidade da atividade econômica</w:t>
      </w:r>
      <w:r w:rsidR="009436F1">
        <w:t xml:space="preserve"> domé</w:t>
      </w:r>
      <w:r w:rsidR="00937D89">
        <w:t xml:space="preserve">stica </w:t>
      </w:r>
      <w:r w:rsidR="009436F1">
        <w:t>e de</w:t>
      </w:r>
      <w:r w:rsidR="008B7BD1" w:rsidRPr="008B7BD1">
        <w:t xml:space="preserve"> </w:t>
      </w:r>
      <w:r w:rsidR="008B7BD1" w:rsidRPr="008B7BD1">
        <w:rPr>
          <w:i/>
        </w:rPr>
        <w:t>“estimular a produção, aquisição e exportação de bens de capital e inovação</w:t>
      </w:r>
      <w:r w:rsidR="008B7BD1">
        <w:rPr>
          <w:i/>
        </w:rPr>
        <w:t>”</w:t>
      </w:r>
      <w:r w:rsidR="008B7BD1">
        <w:t xml:space="preserve">. Pode-se constatar que o Programa </w:t>
      </w:r>
      <w:r w:rsidR="00D106BD">
        <w:t xml:space="preserve">permitiu que os investimentos na economia doméstica pudessem continuar no patamar até então vigentes. </w:t>
      </w:r>
    </w:p>
    <w:p w:rsidR="008B7BD1" w:rsidRDefault="008B7BD1" w:rsidP="007D6B86">
      <w:pPr>
        <w:pStyle w:val="04-PargrafodetextoEstudoNotas-CLG"/>
        <w:spacing w:line="276" w:lineRule="auto"/>
        <w:ind w:firstLine="1170"/>
      </w:pPr>
      <w:r>
        <w:t>Atualmente, o Programa BNDES de Sustentação do Investimento – BNDES PSI, abrange 4 subprogramas, a saber:</w:t>
      </w:r>
    </w:p>
    <w:p w:rsidR="008B7BD1" w:rsidRDefault="008B7BD1" w:rsidP="007D6B86">
      <w:pPr>
        <w:pStyle w:val="04-PargrafodetextoEstudoNotas-CLG"/>
        <w:numPr>
          <w:ilvl w:val="0"/>
          <w:numId w:val="4"/>
        </w:numPr>
        <w:spacing w:line="276" w:lineRule="auto"/>
      </w:pPr>
      <w:r>
        <w:t>BNDES PSI – Bens de Capital</w:t>
      </w:r>
    </w:p>
    <w:p w:rsidR="008B7BD1" w:rsidRDefault="008B7BD1" w:rsidP="007D6B86">
      <w:pPr>
        <w:pStyle w:val="04-PargrafodetextoEstudoNotas-CLG"/>
        <w:numPr>
          <w:ilvl w:val="0"/>
          <w:numId w:val="4"/>
        </w:numPr>
        <w:spacing w:line="276" w:lineRule="auto"/>
      </w:pPr>
      <w:r>
        <w:t xml:space="preserve">BNDES PSI – Inovação </w:t>
      </w:r>
      <w:r>
        <w:tab/>
        <w:t>e Máquinas e Equipamentos Eficientes</w:t>
      </w:r>
    </w:p>
    <w:p w:rsidR="008B7BD1" w:rsidRDefault="008B7BD1" w:rsidP="007D6B86">
      <w:pPr>
        <w:pStyle w:val="04-PargrafodetextoEstudoNotas-CLG"/>
        <w:numPr>
          <w:ilvl w:val="0"/>
          <w:numId w:val="4"/>
        </w:numPr>
        <w:spacing w:line="276" w:lineRule="auto"/>
      </w:pPr>
      <w:r>
        <w:t>BNDES PSI – Exportação Pré-Embarque</w:t>
      </w:r>
    </w:p>
    <w:p w:rsidR="008B7BD1" w:rsidRDefault="008B7BD1" w:rsidP="007D6B86">
      <w:pPr>
        <w:pStyle w:val="04-PargrafodetextoEstudoNotas-CLG"/>
        <w:numPr>
          <w:ilvl w:val="0"/>
          <w:numId w:val="4"/>
        </w:numPr>
        <w:spacing w:line="276" w:lineRule="auto"/>
      </w:pPr>
      <w:r>
        <w:t xml:space="preserve">BNDES PSI – Projetos Transformadores </w:t>
      </w:r>
    </w:p>
    <w:p w:rsidR="00BA1BC4" w:rsidRPr="0067135F" w:rsidRDefault="00937D89" w:rsidP="007D6B86">
      <w:pPr>
        <w:pStyle w:val="04-PargrafodetextoEstudoNotas-CLG"/>
        <w:spacing w:line="276" w:lineRule="auto"/>
        <w:ind w:firstLine="1080"/>
        <w:rPr>
          <w:szCs w:val="28"/>
        </w:rPr>
      </w:pPr>
      <w:r>
        <w:rPr>
          <w:szCs w:val="28"/>
        </w:rPr>
        <w:t>A</w:t>
      </w:r>
      <w:r w:rsidR="00BA1BC4" w:rsidRPr="0067135F">
        <w:rPr>
          <w:szCs w:val="28"/>
        </w:rPr>
        <w:t xml:space="preserve"> equalização de taxas de juros, </w:t>
      </w:r>
      <w:r w:rsidR="00816DC3">
        <w:rPr>
          <w:szCs w:val="28"/>
        </w:rPr>
        <w:t xml:space="preserve">de que trata a presente </w:t>
      </w:r>
      <w:r w:rsidR="00BA1BC4" w:rsidRPr="0067135F">
        <w:rPr>
          <w:szCs w:val="28"/>
        </w:rPr>
        <w:t>MPV nº 663</w:t>
      </w:r>
      <w:r w:rsidR="00816DC3">
        <w:rPr>
          <w:szCs w:val="28"/>
        </w:rPr>
        <w:t>/2014</w:t>
      </w:r>
      <w:r w:rsidR="00BA1BC4" w:rsidRPr="0067135F">
        <w:rPr>
          <w:szCs w:val="28"/>
        </w:rPr>
        <w:t xml:space="preserve">, consiste no pagamento, por parte do Tesouro Nacional, da diferença entre o custo de captação do BNDES e os encargos dos empréstimos concedidos </w:t>
      </w:r>
      <w:r w:rsidR="00BA1BC4" w:rsidRPr="0067135F">
        <w:rPr>
          <w:szCs w:val="28"/>
        </w:rPr>
        <w:lastRenderedPageBreak/>
        <w:t>aos tomadores finais a taxas ainda menores que a TJLP mais a remuneração do agente financeiro. Nos termos da própria Lei nº 12.096, de 2009, art. 1º, § 2º:</w:t>
      </w:r>
    </w:p>
    <w:p w:rsidR="00BA1BC4" w:rsidRPr="0067135F" w:rsidRDefault="00BA1BC4" w:rsidP="007D6B86">
      <w:pPr>
        <w:pStyle w:val="06-Citaolegal-linhafinal-CLG"/>
        <w:spacing w:line="276" w:lineRule="auto"/>
        <w:rPr>
          <w:szCs w:val="28"/>
        </w:rPr>
      </w:pPr>
      <w:r w:rsidRPr="0067135F">
        <w:t xml:space="preserve">§ 2º A equalização de juros de que trata o </w:t>
      </w:r>
      <w:r w:rsidRPr="0067135F">
        <w:rPr>
          <w:i/>
        </w:rPr>
        <w:t>caput</w:t>
      </w:r>
      <w:r w:rsidRPr="0067135F">
        <w:t xml:space="preserve"> corresponderá ao diferencial entre o encargo do mutuário final e o custo da fonte de recursos, acrescido da remuneração do BNDES, dos agentes financeiros por ele credenciados ou da Finep.</w:t>
      </w:r>
      <w:r w:rsidRPr="0067135F">
        <w:rPr>
          <w:szCs w:val="28"/>
        </w:rPr>
        <w:t xml:space="preserve"> </w:t>
      </w:r>
      <w:r w:rsidRPr="0067135F">
        <w:t>(Redação dada pela Lei nº 12.453, de 2011)</w:t>
      </w:r>
    </w:p>
    <w:p w:rsidR="00D07148" w:rsidRPr="0067135F" w:rsidRDefault="00937D89" w:rsidP="007D6B86">
      <w:pPr>
        <w:pStyle w:val="04-PargrafodetextoEstudoNotas-CLG"/>
        <w:spacing w:line="276" w:lineRule="auto"/>
        <w:ind w:firstLine="1080"/>
        <w:rPr>
          <w:szCs w:val="28"/>
        </w:rPr>
      </w:pPr>
      <w:r>
        <w:rPr>
          <w:szCs w:val="28"/>
        </w:rPr>
        <w:t>A</w:t>
      </w:r>
      <w:r w:rsidR="00BA1BC4" w:rsidRPr="0067135F">
        <w:rPr>
          <w:szCs w:val="28"/>
        </w:rPr>
        <w:t xml:space="preserve"> decisão do Governo Federal de incentivar programas de investimento, garantindo assim um custo financeiro substancialmente baixo em relação às demais opções de fina</w:t>
      </w:r>
      <w:r>
        <w:rPr>
          <w:szCs w:val="28"/>
        </w:rPr>
        <w:t>nciamento existentes no mercado</w:t>
      </w:r>
      <w:r w:rsidR="00F72813">
        <w:rPr>
          <w:szCs w:val="28"/>
        </w:rPr>
        <w:t>,</w:t>
      </w:r>
      <w:r>
        <w:rPr>
          <w:szCs w:val="28"/>
        </w:rPr>
        <w:t xml:space="preserve"> está em linha com os objetivos de crescimento econômico do país. </w:t>
      </w:r>
      <w:r w:rsidRPr="0067135F">
        <w:rPr>
          <w:szCs w:val="28"/>
        </w:rPr>
        <w:t xml:space="preserve">As condições do PSI são reguladas pela Resolução CMN nº 4.391, de 19 de dezembro de 2014, que </w:t>
      </w:r>
      <w:r w:rsidRPr="0067135F">
        <w:rPr>
          <w:i/>
          <w:szCs w:val="28"/>
        </w:rPr>
        <w:t>estabelece as condições para contratação dos financiamentos passíveis de subvenção econômica de que trata a Lei nº 12.096, de 24 de novembro de 2009, para o período de 1º de janeiro de 2015 a 31 de dezembro de 2015</w:t>
      </w:r>
      <w:r w:rsidRPr="0067135F">
        <w:rPr>
          <w:szCs w:val="28"/>
        </w:rPr>
        <w:t>.</w:t>
      </w:r>
    </w:p>
    <w:p w:rsidR="00711EDA" w:rsidRDefault="00711EDA" w:rsidP="007D6B86">
      <w:pPr>
        <w:pStyle w:val="Corpodetexto"/>
        <w:spacing w:after="200" w:line="276" w:lineRule="auto"/>
        <w:ind w:firstLine="1080"/>
        <w:jc w:val="both"/>
        <w:rPr>
          <w:rFonts w:cs="Times New Roman"/>
          <w:bCs/>
          <w:sz w:val="28"/>
          <w:szCs w:val="28"/>
        </w:rPr>
      </w:pPr>
    </w:p>
    <w:p w:rsidR="00711EDA" w:rsidRPr="00711EDA" w:rsidRDefault="00711EDA" w:rsidP="007D6B86">
      <w:pPr>
        <w:pStyle w:val="Corpodetexto"/>
        <w:spacing w:after="200" w:line="276" w:lineRule="auto"/>
        <w:jc w:val="both"/>
        <w:rPr>
          <w:rFonts w:cs="Times New Roman"/>
          <w:b/>
          <w:bCs/>
          <w:sz w:val="32"/>
          <w:szCs w:val="32"/>
        </w:rPr>
      </w:pPr>
      <w:r w:rsidRPr="00711EDA">
        <w:rPr>
          <w:rFonts w:cs="Times New Roman"/>
          <w:b/>
          <w:bCs/>
          <w:sz w:val="32"/>
          <w:szCs w:val="32"/>
        </w:rPr>
        <w:t xml:space="preserve">II.1 – Admissibilidade, Constitucionalidade e Juridicidade </w:t>
      </w:r>
    </w:p>
    <w:p w:rsidR="00711EDA" w:rsidRDefault="00711EDA" w:rsidP="007D6B86">
      <w:pPr>
        <w:pStyle w:val="Corpodetexto"/>
        <w:spacing w:after="200" w:line="276" w:lineRule="auto"/>
        <w:jc w:val="both"/>
        <w:rPr>
          <w:rFonts w:cs="Times New Roman"/>
          <w:bCs/>
          <w:sz w:val="28"/>
          <w:szCs w:val="28"/>
        </w:rPr>
      </w:pPr>
    </w:p>
    <w:p w:rsidR="00D07148" w:rsidRDefault="00816DC3" w:rsidP="007D6B86">
      <w:pPr>
        <w:pStyle w:val="Corpodetexto"/>
        <w:spacing w:after="200" w:line="276" w:lineRule="auto"/>
        <w:ind w:firstLine="1080"/>
        <w:jc w:val="both"/>
        <w:rPr>
          <w:rFonts w:cs="Times New Roman"/>
          <w:bCs/>
          <w:sz w:val="28"/>
          <w:szCs w:val="28"/>
        </w:rPr>
      </w:pPr>
      <w:r>
        <w:rPr>
          <w:rFonts w:cs="Times New Roman"/>
          <w:bCs/>
          <w:sz w:val="28"/>
          <w:szCs w:val="28"/>
        </w:rPr>
        <w:t xml:space="preserve">A Constituição Federal de 1988, no art. 62, exige que as Medidas Provisórias atendam os critérios de relevância e urgência. Na Exposição de Motivos </w:t>
      </w:r>
      <w:r w:rsidR="007429DB">
        <w:rPr>
          <w:rFonts w:cs="Times New Roman"/>
          <w:bCs/>
          <w:sz w:val="28"/>
          <w:szCs w:val="28"/>
        </w:rPr>
        <w:t>n</w:t>
      </w:r>
      <w:r w:rsidR="00884BC2">
        <w:rPr>
          <w:rFonts w:cs="Times New Roman"/>
          <w:bCs/>
          <w:sz w:val="28"/>
          <w:szCs w:val="28"/>
        </w:rPr>
        <w:t xml:space="preserve">° </w:t>
      </w:r>
      <w:r>
        <w:rPr>
          <w:rFonts w:cs="Times New Roman"/>
          <w:bCs/>
          <w:sz w:val="28"/>
          <w:szCs w:val="28"/>
        </w:rPr>
        <w:t xml:space="preserve">175/2014 do ato normativo ora sob análise versa que: </w:t>
      </w:r>
      <w:r w:rsidRPr="00816DC3">
        <w:rPr>
          <w:rFonts w:cs="Times New Roman"/>
          <w:bCs/>
          <w:i/>
          <w:sz w:val="28"/>
          <w:szCs w:val="28"/>
        </w:rPr>
        <w:t>“O valor total já comprometido pelo BNDES para os financiamentos de que trata a referida autorização legislativa, consideradas as operações em consulta, em análise, enquadradas, aprovadas e contratadas alcançou, em 16 de dezembro de 2014, um total de aproximadamente R$ 378.000.000.000,00 (trezentos e setenta e oito bilhões de reais)”</w:t>
      </w:r>
      <w:r>
        <w:rPr>
          <w:rFonts w:cs="Times New Roman"/>
          <w:bCs/>
          <w:sz w:val="28"/>
          <w:szCs w:val="28"/>
        </w:rPr>
        <w:t xml:space="preserve">. </w:t>
      </w:r>
    </w:p>
    <w:p w:rsidR="00D07148" w:rsidRDefault="00857ADA" w:rsidP="007D6B86">
      <w:pPr>
        <w:pStyle w:val="Corpodetexto"/>
        <w:spacing w:after="200" w:line="276" w:lineRule="auto"/>
        <w:ind w:firstLine="1080"/>
        <w:jc w:val="both"/>
        <w:rPr>
          <w:rFonts w:cs="Times New Roman"/>
          <w:bCs/>
          <w:sz w:val="28"/>
          <w:szCs w:val="28"/>
        </w:rPr>
      </w:pPr>
      <w:r>
        <w:rPr>
          <w:rFonts w:cs="Times New Roman"/>
          <w:bCs/>
          <w:sz w:val="28"/>
          <w:szCs w:val="28"/>
        </w:rPr>
        <w:t>Nesse viés, faz-se necessária pronta disponibilização de recursos adicionais ao BNDES para que a concessão</w:t>
      </w:r>
      <w:r w:rsidR="00B90282">
        <w:rPr>
          <w:rFonts w:cs="Times New Roman"/>
          <w:bCs/>
          <w:sz w:val="28"/>
          <w:szCs w:val="28"/>
        </w:rPr>
        <w:t xml:space="preserve"> de</w:t>
      </w:r>
      <w:r>
        <w:rPr>
          <w:rFonts w:cs="Times New Roman"/>
          <w:bCs/>
          <w:sz w:val="28"/>
          <w:szCs w:val="28"/>
        </w:rPr>
        <w:t xml:space="preserve"> recursos no âmbito do PSI não seja interrompida, sob pena de significativos prejuízos às operação de fomento. Da mesma forma, levando-se em conta o fundamental papel que o Banco representa para provimento de crédito na economia nacional, constata-se a relevância da medida no atual contexto econômico, que possibilitará, assim, a ampliação de investimentos em inovação e modernização ora em curso. </w:t>
      </w:r>
    </w:p>
    <w:p w:rsidR="007429DB" w:rsidRDefault="007429DB" w:rsidP="007D6B86">
      <w:pPr>
        <w:pStyle w:val="04-PargrafodetextoEstudoNotas-CLG"/>
        <w:spacing w:line="276" w:lineRule="auto"/>
        <w:ind w:firstLine="1080"/>
        <w:rPr>
          <w:bCs/>
        </w:rPr>
      </w:pPr>
    </w:p>
    <w:p w:rsidR="007429DB" w:rsidRPr="007429DB" w:rsidRDefault="007429DB" w:rsidP="007D6B86">
      <w:pPr>
        <w:pStyle w:val="04-PargrafodetextoEstudoNotas-CLG"/>
        <w:spacing w:line="276" w:lineRule="auto"/>
        <w:ind w:firstLine="0"/>
        <w:rPr>
          <w:b/>
          <w:bCs/>
          <w:sz w:val="32"/>
          <w:szCs w:val="32"/>
        </w:rPr>
      </w:pPr>
      <w:r w:rsidRPr="007429DB">
        <w:rPr>
          <w:b/>
          <w:bCs/>
          <w:sz w:val="32"/>
          <w:szCs w:val="32"/>
        </w:rPr>
        <w:t xml:space="preserve">II.2 – Da adequação </w:t>
      </w:r>
      <w:r w:rsidRPr="007429DB">
        <w:rPr>
          <w:rFonts w:eastAsia="Lucida Sans Unicode"/>
          <w:b/>
          <w:bCs/>
          <w:kern w:val="1"/>
          <w:sz w:val="32"/>
          <w:szCs w:val="32"/>
          <w:lang w:eastAsia="hi-IN" w:bidi="hi-IN"/>
        </w:rPr>
        <w:t>financeira e orçamentária</w:t>
      </w:r>
    </w:p>
    <w:p w:rsidR="007429DB" w:rsidRDefault="007429DB" w:rsidP="007D6B86">
      <w:pPr>
        <w:pStyle w:val="04-PargrafodetextoEstudoNotas-CLG"/>
        <w:spacing w:line="276" w:lineRule="auto"/>
        <w:ind w:firstLine="1080"/>
        <w:rPr>
          <w:bCs/>
        </w:rPr>
      </w:pPr>
    </w:p>
    <w:p w:rsidR="00D07148" w:rsidRDefault="00D07148" w:rsidP="007D6B86">
      <w:pPr>
        <w:pStyle w:val="04-PargrafodetextoEstudoNotas-CLG"/>
        <w:spacing w:line="276" w:lineRule="auto"/>
        <w:ind w:firstLine="1080"/>
      </w:pPr>
      <w:r w:rsidRPr="0067135F">
        <w:rPr>
          <w:bCs/>
        </w:rPr>
        <w:t xml:space="preserve">No que respeita à adequação orçamentária e financeira, </w:t>
      </w:r>
      <w:r w:rsidRPr="0067135F">
        <w:t xml:space="preserve">de acordo com a referida EM nº 175/2014 MF, o montante de acréscimo proposto ao limite de financiamentos subvencionados, de R$ 50 bilhões, foi estimado a partir de estudos </w:t>
      </w:r>
      <w:r>
        <w:t>técnicos realizados pelo BNDES. Entendemos que a presente Medida Provisória</w:t>
      </w:r>
      <w:r w:rsidRPr="0067135F">
        <w:t xml:space="preserve"> </w:t>
      </w:r>
      <w:r>
        <w:t xml:space="preserve">sob análise </w:t>
      </w:r>
      <w:r w:rsidRPr="0067135F">
        <w:t>atende ao art. 26 da Lei Complementar nº 101, de 4 de maio de 2000 (Lei de Responsabilidade Fiscal – LRF), e art. 34 da Lei nº 12.708, de 17 de agosto de 2012 (Lei de Di</w:t>
      </w:r>
      <w:r>
        <w:t xml:space="preserve">retrizes Orçamentárias de 2013). De tal sorte, a presente proposta está em acordo com os </w:t>
      </w:r>
      <w:proofErr w:type="spellStart"/>
      <w:r w:rsidRPr="0067135F">
        <w:t>arts</w:t>
      </w:r>
      <w:proofErr w:type="spellEnd"/>
      <w:r w:rsidRPr="0067135F">
        <w:t>. 16 e 17 da LRF,</w:t>
      </w:r>
      <w:r>
        <w:t xml:space="preserve"> ao estimar que não </w:t>
      </w:r>
      <w:proofErr w:type="gramStart"/>
      <w:r>
        <w:t>haverá</w:t>
      </w:r>
      <w:proofErr w:type="gramEnd"/>
      <w:r w:rsidRPr="0067135F">
        <w:t xml:space="preserve"> impacto orçamentário-financeiro</w:t>
      </w:r>
      <w:r>
        <w:t xml:space="preserve"> </w:t>
      </w:r>
      <w:r w:rsidRPr="0067135F">
        <w:t>para os exercícios de 2015 e 2016</w:t>
      </w:r>
      <w:r>
        <w:t xml:space="preserve">. </w:t>
      </w:r>
    </w:p>
    <w:p w:rsidR="007429DB" w:rsidRDefault="007429DB" w:rsidP="007D6B86">
      <w:pPr>
        <w:pStyle w:val="04-PargrafodetextoEstudoNotas-CLG"/>
        <w:spacing w:line="276" w:lineRule="auto"/>
        <w:ind w:firstLine="0"/>
      </w:pPr>
    </w:p>
    <w:p w:rsidR="007429DB" w:rsidRPr="007429DB" w:rsidRDefault="007429DB" w:rsidP="007D6B86">
      <w:pPr>
        <w:pStyle w:val="04-PargrafodetextoEstudoNotas-CLG"/>
        <w:spacing w:line="276" w:lineRule="auto"/>
        <w:ind w:firstLine="0"/>
        <w:rPr>
          <w:b/>
          <w:bCs/>
          <w:sz w:val="32"/>
          <w:szCs w:val="32"/>
        </w:rPr>
      </w:pPr>
      <w:r>
        <w:rPr>
          <w:b/>
          <w:bCs/>
          <w:sz w:val="32"/>
          <w:szCs w:val="32"/>
        </w:rPr>
        <w:t>II.3</w:t>
      </w:r>
      <w:r w:rsidRPr="007429DB">
        <w:rPr>
          <w:b/>
          <w:bCs/>
          <w:sz w:val="32"/>
          <w:szCs w:val="32"/>
        </w:rPr>
        <w:t xml:space="preserve"> – Da</w:t>
      </w:r>
      <w:r>
        <w:rPr>
          <w:b/>
          <w:bCs/>
          <w:sz w:val="32"/>
          <w:szCs w:val="32"/>
        </w:rPr>
        <w:t>s</w:t>
      </w:r>
      <w:r w:rsidRPr="007429DB">
        <w:rPr>
          <w:b/>
          <w:bCs/>
          <w:sz w:val="32"/>
          <w:szCs w:val="32"/>
        </w:rPr>
        <w:t xml:space="preserve"> </w:t>
      </w:r>
      <w:r>
        <w:rPr>
          <w:b/>
          <w:bCs/>
          <w:sz w:val="32"/>
          <w:szCs w:val="32"/>
        </w:rPr>
        <w:t>emendas</w:t>
      </w:r>
    </w:p>
    <w:p w:rsidR="007429DB" w:rsidRDefault="007429DB" w:rsidP="007D6B86">
      <w:pPr>
        <w:pStyle w:val="04-PargrafodetextoEstudoNotas-CLG"/>
        <w:spacing w:line="276" w:lineRule="auto"/>
        <w:ind w:firstLine="0"/>
      </w:pPr>
    </w:p>
    <w:p w:rsidR="00E34912" w:rsidRPr="00114C45" w:rsidRDefault="00E34912" w:rsidP="007D6B86">
      <w:pPr>
        <w:ind w:firstLine="1080"/>
        <w:jc w:val="both"/>
        <w:rPr>
          <w:rFonts w:ascii="Times New Roman" w:hAnsi="Times New Roman" w:cs="Times New Roman"/>
          <w:bCs/>
          <w:sz w:val="28"/>
          <w:szCs w:val="28"/>
        </w:rPr>
      </w:pPr>
      <w:r w:rsidRPr="00114C45">
        <w:rPr>
          <w:rFonts w:ascii="Times New Roman" w:hAnsi="Times New Roman" w:cs="Times New Roman"/>
          <w:bCs/>
          <w:sz w:val="28"/>
          <w:szCs w:val="28"/>
        </w:rPr>
        <w:t>No que diz respeito às emendas</w:t>
      </w:r>
      <w:r w:rsidR="00F66B61" w:rsidRPr="00114C45">
        <w:rPr>
          <w:rFonts w:ascii="Times New Roman" w:hAnsi="Times New Roman" w:cs="Times New Roman"/>
          <w:bCs/>
          <w:sz w:val="28"/>
          <w:szCs w:val="28"/>
        </w:rPr>
        <w:t xml:space="preserve"> apresentadas, en</w:t>
      </w:r>
      <w:r w:rsidR="00F91762" w:rsidRPr="00114C45">
        <w:rPr>
          <w:rFonts w:ascii="Times New Roman" w:hAnsi="Times New Roman" w:cs="Times New Roman"/>
          <w:bCs/>
          <w:sz w:val="28"/>
          <w:szCs w:val="28"/>
        </w:rPr>
        <w:t>tendemos que as emendas nº 1 a 6</w:t>
      </w:r>
      <w:r w:rsidR="00F66B61" w:rsidRPr="00114C45">
        <w:rPr>
          <w:rFonts w:ascii="Times New Roman" w:hAnsi="Times New Roman" w:cs="Times New Roman"/>
          <w:bCs/>
          <w:sz w:val="28"/>
          <w:szCs w:val="28"/>
        </w:rPr>
        <w:t xml:space="preserve">, </w:t>
      </w:r>
      <w:r w:rsidR="00F91762" w:rsidRPr="00114C45">
        <w:rPr>
          <w:rFonts w:ascii="Times New Roman" w:hAnsi="Times New Roman" w:cs="Times New Roman"/>
          <w:bCs/>
          <w:sz w:val="28"/>
          <w:szCs w:val="28"/>
        </w:rPr>
        <w:t xml:space="preserve">12 a 14, 18, 23, 27 a 42 </w:t>
      </w:r>
      <w:r w:rsidR="00F66B61" w:rsidRPr="00114C45">
        <w:rPr>
          <w:rFonts w:ascii="Times New Roman" w:hAnsi="Times New Roman" w:cs="Times New Roman"/>
          <w:bCs/>
          <w:sz w:val="28"/>
          <w:szCs w:val="28"/>
        </w:rPr>
        <w:t xml:space="preserve">não guardam pertinência com a matéria e, portanto, </w:t>
      </w:r>
      <w:r w:rsidRPr="00114C45">
        <w:rPr>
          <w:rFonts w:ascii="Times New Roman" w:hAnsi="Times New Roman" w:cs="Times New Roman"/>
          <w:bCs/>
          <w:sz w:val="28"/>
          <w:szCs w:val="28"/>
        </w:rPr>
        <w:t xml:space="preserve">em face inclusive do que dispõe o art. 7º da Lei Complementar 95, de 1998, </w:t>
      </w:r>
      <w:r w:rsidR="00F66B61" w:rsidRPr="00114C45">
        <w:rPr>
          <w:rFonts w:ascii="Times New Roman" w:hAnsi="Times New Roman" w:cs="Times New Roman"/>
          <w:bCs/>
          <w:sz w:val="28"/>
          <w:szCs w:val="28"/>
        </w:rPr>
        <w:t>deverão ser consideradas prejudicada</w:t>
      </w:r>
      <w:r w:rsidRPr="00114C45">
        <w:rPr>
          <w:rFonts w:ascii="Times New Roman" w:hAnsi="Times New Roman" w:cs="Times New Roman"/>
          <w:bCs/>
          <w:sz w:val="28"/>
          <w:szCs w:val="28"/>
        </w:rPr>
        <w:t>s.</w:t>
      </w:r>
    </w:p>
    <w:p w:rsidR="00E34912" w:rsidRPr="00114C45" w:rsidRDefault="00F91762" w:rsidP="007D6B86">
      <w:pPr>
        <w:ind w:firstLine="1080"/>
        <w:jc w:val="both"/>
        <w:rPr>
          <w:rFonts w:ascii="Times New Roman" w:hAnsi="Times New Roman" w:cs="Times New Roman"/>
          <w:bCs/>
          <w:sz w:val="28"/>
          <w:szCs w:val="28"/>
        </w:rPr>
      </w:pPr>
      <w:r w:rsidRPr="00114C45">
        <w:rPr>
          <w:rFonts w:ascii="Times New Roman" w:hAnsi="Times New Roman" w:cs="Times New Roman"/>
          <w:bCs/>
          <w:sz w:val="28"/>
          <w:szCs w:val="28"/>
        </w:rPr>
        <w:t>Já em relação às emendas nº 7 a 11</w:t>
      </w:r>
      <w:r w:rsidR="00F66B61" w:rsidRPr="00114C45">
        <w:rPr>
          <w:rFonts w:ascii="Times New Roman" w:hAnsi="Times New Roman" w:cs="Times New Roman"/>
          <w:bCs/>
          <w:sz w:val="28"/>
          <w:szCs w:val="28"/>
        </w:rPr>
        <w:t>,</w:t>
      </w:r>
      <w:r w:rsidRPr="00114C45">
        <w:rPr>
          <w:rFonts w:ascii="Times New Roman" w:hAnsi="Times New Roman" w:cs="Times New Roman"/>
          <w:bCs/>
          <w:sz w:val="28"/>
          <w:szCs w:val="28"/>
        </w:rPr>
        <w:t xml:space="preserve"> 15 a 17, 19 a 22, 24 a 26, 43 a 48</w:t>
      </w:r>
      <w:r w:rsidR="00F66B61" w:rsidRPr="00114C45">
        <w:rPr>
          <w:rFonts w:ascii="Times New Roman" w:hAnsi="Times New Roman" w:cs="Times New Roman"/>
          <w:bCs/>
          <w:sz w:val="28"/>
          <w:szCs w:val="28"/>
        </w:rPr>
        <w:t xml:space="preserve">, </w:t>
      </w:r>
      <w:r w:rsidR="00E34912" w:rsidRPr="00114C45">
        <w:rPr>
          <w:rFonts w:ascii="Times New Roman" w:hAnsi="Times New Roman" w:cs="Times New Roman"/>
          <w:bCs/>
          <w:sz w:val="28"/>
          <w:szCs w:val="28"/>
        </w:rPr>
        <w:t xml:space="preserve">ainda que </w:t>
      </w:r>
      <w:r w:rsidR="00B25C3A" w:rsidRPr="00114C45">
        <w:rPr>
          <w:rFonts w:ascii="Times New Roman" w:hAnsi="Times New Roman" w:cs="Times New Roman"/>
          <w:bCs/>
          <w:sz w:val="28"/>
          <w:szCs w:val="28"/>
        </w:rPr>
        <w:t xml:space="preserve">pertinentes com </w:t>
      </w:r>
      <w:r w:rsidR="00F66B61" w:rsidRPr="00114C45">
        <w:rPr>
          <w:rFonts w:ascii="Times New Roman" w:hAnsi="Times New Roman" w:cs="Times New Roman"/>
          <w:bCs/>
          <w:sz w:val="28"/>
          <w:szCs w:val="28"/>
        </w:rPr>
        <w:t>a MP</w:t>
      </w:r>
      <w:r w:rsidR="00E34912" w:rsidRPr="00114C45">
        <w:rPr>
          <w:rFonts w:ascii="Times New Roman" w:hAnsi="Times New Roman" w:cs="Times New Roman"/>
          <w:bCs/>
          <w:sz w:val="28"/>
          <w:szCs w:val="28"/>
        </w:rPr>
        <w:t xml:space="preserve"> sob análise, considero que são alterações que podem ser levadas a cabo através do processo legislativo ordinário.</w:t>
      </w:r>
    </w:p>
    <w:p w:rsidR="00E34912" w:rsidRPr="00114C45" w:rsidRDefault="00E34912" w:rsidP="007D6B86">
      <w:pPr>
        <w:ind w:firstLine="1080"/>
        <w:jc w:val="both"/>
        <w:rPr>
          <w:rFonts w:ascii="Times" w:hAnsi="Times" w:cs="Arial"/>
          <w:sz w:val="28"/>
          <w:szCs w:val="28"/>
        </w:rPr>
      </w:pPr>
      <w:r w:rsidRPr="00114C45">
        <w:rPr>
          <w:rFonts w:ascii="Times New Roman" w:hAnsi="Times New Roman" w:cs="Times New Roman"/>
          <w:bCs/>
          <w:sz w:val="28"/>
          <w:szCs w:val="28"/>
        </w:rPr>
        <w:t xml:space="preserve">Destaque-se que </w:t>
      </w:r>
      <w:r w:rsidR="00312E06" w:rsidRPr="00114C45">
        <w:rPr>
          <w:rFonts w:ascii="Times New Roman" w:hAnsi="Times New Roman" w:cs="Times New Roman"/>
          <w:bCs/>
          <w:sz w:val="28"/>
          <w:szCs w:val="28"/>
        </w:rPr>
        <w:t>s</w:t>
      </w:r>
      <w:r w:rsidR="00C117C2" w:rsidRPr="00114C45">
        <w:rPr>
          <w:rFonts w:ascii="Times" w:hAnsi="Times" w:cs="Arial"/>
          <w:sz w:val="28"/>
          <w:szCs w:val="28"/>
        </w:rPr>
        <w:t>ão quatro as emendas que pretendem inserir um 17º parágrafo no art. 1º da Lei 12.096 (8, 17, 19 e 26), todas visando criar um sistema operacional mais transparente para o Banco.</w:t>
      </w:r>
      <w:r w:rsidRPr="00114C45">
        <w:rPr>
          <w:rFonts w:ascii="Times" w:hAnsi="Times" w:cs="Arial"/>
          <w:sz w:val="28"/>
          <w:szCs w:val="28"/>
        </w:rPr>
        <w:t xml:space="preserve"> Ocorre que quando da aprovação da MPV 661, foi inserida</w:t>
      </w:r>
      <w:r w:rsidR="00114C45" w:rsidRPr="00114C45">
        <w:rPr>
          <w:rFonts w:ascii="Times" w:hAnsi="Times" w:cs="Arial"/>
          <w:sz w:val="28"/>
          <w:szCs w:val="28"/>
        </w:rPr>
        <w:t xml:space="preserve"> em nosso ordenamento jurídico, através do art. 6º da redação final,</w:t>
      </w:r>
      <w:r w:rsidRPr="00114C45">
        <w:rPr>
          <w:rFonts w:ascii="Times" w:hAnsi="Times" w:cs="Arial"/>
          <w:sz w:val="28"/>
          <w:szCs w:val="28"/>
        </w:rPr>
        <w:t xml:space="preserve"> norma mais ampla e radical que as pretendidas pelas emendas 8, 17 e 19, restando essas, portanto, prejudicadas.</w:t>
      </w:r>
    </w:p>
    <w:p w:rsidR="00C117C2" w:rsidRPr="00114C45" w:rsidRDefault="00E34912" w:rsidP="007D6B86">
      <w:pPr>
        <w:ind w:firstLine="1080"/>
        <w:jc w:val="both"/>
        <w:rPr>
          <w:rFonts w:ascii="Times New Roman" w:hAnsi="Times New Roman" w:cs="Times New Roman"/>
          <w:bCs/>
          <w:sz w:val="28"/>
          <w:szCs w:val="28"/>
        </w:rPr>
      </w:pPr>
      <w:r w:rsidRPr="00114C45">
        <w:rPr>
          <w:rFonts w:ascii="Times" w:hAnsi="Times" w:cs="Arial"/>
          <w:sz w:val="28"/>
          <w:szCs w:val="28"/>
        </w:rPr>
        <w:lastRenderedPageBreak/>
        <w:t>A restante emenda, de número 26, do Senador José Serra, é a única que estamos acolhendo.</w:t>
      </w:r>
    </w:p>
    <w:p w:rsidR="000F70B9" w:rsidRDefault="000F70B9" w:rsidP="00726CFD">
      <w:pPr>
        <w:ind w:right="70" w:firstLine="1134"/>
        <w:jc w:val="both"/>
        <w:rPr>
          <w:rFonts w:ascii="Times New Roman" w:hAnsi="Times New Roman" w:cs="Times New Roman"/>
          <w:sz w:val="28"/>
          <w:szCs w:val="28"/>
        </w:rPr>
      </w:pPr>
      <w:r>
        <w:rPr>
          <w:rFonts w:ascii="Times New Roman" w:hAnsi="Times New Roman" w:cs="Times New Roman"/>
          <w:sz w:val="28"/>
          <w:szCs w:val="28"/>
        </w:rPr>
        <w:t xml:space="preserve">Entendemos que a maior transparência fiscal </w:t>
      </w:r>
      <w:r w:rsidR="00F72813">
        <w:rPr>
          <w:rFonts w:ascii="Times New Roman" w:hAnsi="Times New Roman" w:cs="Times New Roman"/>
          <w:sz w:val="28"/>
          <w:szCs w:val="28"/>
        </w:rPr>
        <w:t>a respeito dos</w:t>
      </w:r>
      <w:r>
        <w:rPr>
          <w:rFonts w:ascii="Times New Roman" w:hAnsi="Times New Roman" w:cs="Times New Roman"/>
          <w:sz w:val="28"/>
          <w:szCs w:val="28"/>
        </w:rPr>
        <w:t xml:space="preserve"> recursos </w:t>
      </w:r>
      <w:r w:rsidR="00F72813">
        <w:rPr>
          <w:rFonts w:ascii="Times New Roman" w:hAnsi="Times New Roman" w:cs="Times New Roman"/>
          <w:sz w:val="28"/>
          <w:szCs w:val="28"/>
        </w:rPr>
        <w:t>obtidos</w:t>
      </w:r>
      <w:r w:rsidR="003322FC">
        <w:rPr>
          <w:rFonts w:ascii="Times New Roman" w:hAnsi="Times New Roman" w:cs="Times New Roman"/>
          <w:sz w:val="28"/>
          <w:szCs w:val="28"/>
        </w:rPr>
        <w:t xml:space="preserve"> pelo Banco com o</w:t>
      </w:r>
      <w:r>
        <w:rPr>
          <w:rFonts w:ascii="Times New Roman" w:hAnsi="Times New Roman" w:cs="Times New Roman"/>
          <w:sz w:val="28"/>
          <w:szCs w:val="28"/>
        </w:rPr>
        <w:t xml:space="preserve"> Tesouro é fundamental para que a sociedade brasileira possa realizar adequado</w:t>
      </w:r>
      <w:r w:rsidR="00312E06">
        <w:rPr>
          <w:rFonts w:ascii="Times New Roman" w:hAnsi="Times New Roman" w:cs="Times New Roman"/>
          <w:sz w:val="28"/>
          <w:szCs w:val="28"/>
        </w:rPr>
        <w:t xml:space="preserve"> controle</w:t>
      </w:r>
      <w:r>
        <w:rPr>
          <w:rFonts w:ascii="Times New Roman" w:hAnsi="Times New Roman" w:cs="Times New Roman"/>
          <w:sz w:val="28"/>
          <w:szCs w:val="28"/>
        </w:rPr>
        <w:t xml:space="preserve"> das políticas públicas </w:t>
      </w:r>
      <w:r w:rsidR="00C311EC">
        <w:rPr>
          <w:rFonts w:ascii="Times New Roman" w:hAnsi="Times New Roman" w:cs="Times New Roman"/>
          <w:sz w:val="28"/>
          <w:szCs w:val="28"/>
        </w:rPr>
        <w:t>em prol do dese</w:t>
      </w:r>
      <w:r w:rsidR="003322FC">
        <w:rPr>
          <w:rFonts w:ascii="Times New Roman" w:hAnsi="Times New Roman" w:cs="Times New Roman"/>
          <w:sz w:val="28"/>
          <w:szCs w:val="28"/>
        </w:rPr>
        <w:t>nvolvimento econômico nacional</w:t>
      </w:r>
      <w:r>
        <w:rPr>
          <w:rFonts w:ascii="Times New Roman" w:hAnsi="Times New Roman" w:cs="Times New Roman"/>
          <w:sz w:val="28"/>
          <w:szCs w:val="28"/>
        </w:rPr>
        <w:t xml:space="preserve">. É necessário </w:t>
      </w:r>
      <w:r w:rsidR="00312E06">
        <w:rPr>
          <w:rFonts w:ascii="Times New Roman" w:hAnsi="Times New Roman" w:cs="Times New Roman"/>
          <w:sz w:val="28"/>
          <w:szCs w:val="28"/>
        </w:rPr>
        <w:t xml:space="preserve">possibilitar a </w:t>
      </w:r>
      <w:r w:rsidR="00153E52">
        <w:rPr>
          <w:rFonts w:ascii="Times New Roman" w:hAnsi="Times New Roman" w:cs="Times New Roman"/>
          <w:sz w:val="28"/>
          <w:szCs w:val="28"/>
        </w:rPr>
        <w:t>todos os cidadãos,</w:t>
      </w:r>
      <w:r w:rsidR="00312E06">
        <w:rPr>
          <w:rFonts w:ascii="Times New Roman" w:hAnsi="Times New Roman" w:cs="Times New Roman"/>
          <w:sz w:val="28"/>
          <w:szCs w:val="28"/>
        </w:rPr>
        <w:t xml:space="preserve"> com </w:t>
      </w:r>
      <w:r>
        <w:rPr>
          <w:rFonts w:ascii="Times New Roman" w:hAnsi="Times New Roman" w:cs="Times New Roman"/>
          <w:sz w:val="28"/>
          <w:szCs w:val="28"/>
        </w:rPr>
        <w:t>clareza</w:t>
      </w:r>
      <w:r w:rsidR="00153E52">
        <w:rPr>
          <w:rFonts w:ascii="Times New Roman" w:hAnsi="Times New Roman" w:cs="Times New Roman"/>
          <w:sz w:val="28"/>
          <w:szCs w:val="28"/>
        </w:rPr>
        <w:t>,</w:t>
      </w:r>
      <w:r>
        <w:rPr>
          <w:rFonts w:ascii="Times New Roman" w:hAnsi="Times New Roman" w:cs="Times New Roman"/>
          <w:sz w:val="28"/>
          <w:szCs w:val="28"/>
        </w:rPr>
        <w:t xml:space="preserve"> os impactos </w:t>
      </w:r>
      <w:r w:rsidR="00312E06">
        <w:rPr>
          <w:rFonts w:ascii="Times New Roman" w:hAnsi="Times New Roman" w:cs="Times New Roman"/>
          <w:sz w:val="28"/>
          <w:szCs w:val="28"/>
        </w:rPr>
        <w:t>orçamentários d</w:t>
      </w:r>
      <w:r w:rsidR="00153E52">
        <w:rPr>
          <w:rFonts w:ascii="Times New Roman" w:hAnsi="Times New Roman" w:cs="Times New Roman"/>
          <w:sz w:val="28"/>
          <w:szCs w:val="28"/>
        </w:rPr>
        <w:t>os</w:t>
      </w:r>
      <w:r>
        <w:rPr>
          <w:rFonts w:ascii="Times New Roman" w:hAnsi="Times New Roman" w:cs="Times New Roman"/>
          <w:sz w:val="28"/>
          <w:szCs w:val="28"/>
        </w:rPr>
        <w:t xml:space="preserve"> financiamentos oriundos de fontes públicas</w:t>
      </w:r>
      <w:r w:rsidR="00153E52">
        <w:rPr>
          <w:rFonts w:ascii="Times New Roman" w:hAnsi="Times New Roman" w:cs="Times New Roman"/>
          <w:sz w:val="28"/>
          <w:szCs w:val="28"/>
        </w:rPr>
        <w:t>.</w:t>
      </w:r>
    </w:p>
    <w:p w:rsidR="00726CFD" w:rsidRPr="00726CFD" w:rsidRDefault="00E34912" w:rsidP="00E97392">
      <w:pPr>
        <w:pStyle w:val="04-PargrafodetextoEstudoNotas-CLG"/>
        <w:spacing w:line="276" w:lineRule="auto"/>
        <w:ind w:firstLine="1134"/>
        <w:rPr>
          <w:rFonts w:eastAsiaTheme="minorHAnsi"/>
          <w:szCs w:val="28"/>
          <w:lang w:eastAsia="en-US"/>
        </w:rPr>
      </w:pPr>
      <w:r w:rsidRPr="00114C45">
        <w:rPr>
          <w:rFonts w:eastAsiaTheme="minorHAnsi"/>
          <w:szCs w:val="28"/>
          <w:lang w:eastAsia="en-US"/>
        </w:rPr>
        <w:t>A emenda em tela</w:t>
      </w:r>
      <w:r>
        <w:rPr>
          <w:rFonts w:eastAsiaTheme="minorHAnsi"/>
          <w:szCs w:val="28"/>
          <w:lang w:eastAsia="en-US"/>
        </w:rPr>
        <w:t xml:space="preserve"> </w:t>
      </w:r>
      <w:r w:rsidR="00726CFD" w:rsidRPr="00726CFD">
        <w:rPr>
          <w:rFonts w:eastAsiaTheme="minorHAnsi"/>
          <w:szCs w:val="28"/>
          <w:lang w:eastAsia="en-US"/>
        </w:rPr>
        <w:t>acrescenta o § 17 ao art. 1º da Lei nº 12.096, de 2009, com a seguinte redação:</w:t>
      </w:r>
    </w:p>
    <w:p w:rsidR="00726CFD" w:rsidRDefault="00726CFD" w:rsidP="00726CFD">
      <w:pPr>
        <w:pStyle w:val="07-Citaolegal-CLG"/>
      </w:pPr>
      <w:r w:rsidRPr="00057BBC">
        <w:t>“</w:t>
      </w:r>
      <w:proofErr w:type="spellStart"/>
      <w:r w:rsidRPr="00057BBC">
        <w:rPr>
          <w:b/>
        </w:rPr>
        <w:t>Art</w:t>
      </w:r>
      <w:proofErr w:type="spellEnd"/>
      <w:r>
        <w:rPr>
          <w:b/>
        </w:rPr>
        <w:t xml:space="preserve"> 1º</w:t>
      </w:r>
      <w:r>
        <w:t>.................................................................................</w:t>
      </w:r>
    </w:p>
    <w:p w:rsidR="00726CFD" w:rsidRDefault="00726CFD" w:rsidP="00726CFD">
      <w:pPr>
        <w:pStyle w:val="07-Citaolegal-CLG"/>
      </w:pPr>
      <w:r>
        <w:t>............................................................................................</w:t>
      </w:r>
    </w:p>
    <w:p w:rsidR="00726CFD" w:rsidRDefault="00726CFD" w:rsidP="00726CFD">
      <w:pPr>
        <w:pStyle w:val="07-Citaolegal-CLG"/>
      </w:pPr>
      <w:r>
        <w:rPr>
          <w:lang w:val="pt-PT"/>
        </w:rPr>
        <w:t>§ 17.</w:t>
      </w:r>
      <w:r w:rsidRPr="00DA0CB3">
        <w:rPr>
          <w:lang w:val="pt-PT"/>
        </w:rPr>
        <w:t xml:space="preserve"> </w:t>
      </w:r>
      <w:r w:rsidRPr="0067176A">
        <w:t>O Ministério da Fazenda publicar</w:t>
      </w:r>
      <w:r>
        <w:t>á, até o último dia do mês subsequente a cada bimestre</w:t>
      </w:r>
      <w:r w:rsidRPr="0067176A">
        <w:t xml:space="preserve">, na internet, </w:t>
      </w:r>
      <w:r>
        <w:t xml:space="preserve">os seguintes </w:t>
      </w:r>
      <w:r w:rsidRPr="0067176A">
        <w:t>demonstrativo</w:t>
      </w:r>
      <w:r>
        <w:t>s:</w:t>
      </w:r>
    </w:p>
    <w:p w:rsidR="00726CFD" w:rsidRDefault="00726CFD" w:rsidP="00726CFD">
      <w:pPr>
        <w:pStyle w:val="07-Citaolegal-CLG"/>
      </w:pPr>
      <w:r>
        <w:t>I –</w:t>
      </w:r>
      <w:r w:rsidRPr="0067176A">
        <w:t xml:space="preserve"> do impacto fiscal das operações do Tesouro Nacional com o BNDES, juntamente com a metodologia de cálculo utilizada, considerando o custo de captação do Governo Federal e o valor devido à União</w:t>
      </w:r>
      <w:r>
        <w:t>;</w:t>
      </w:r>
    </w:p>
    <w:p w:rsidR="00726CFD" w:rsidRPr="00DA0CB3" w:rsidRDefault="00726CFD" w:rsidP="00726CFD">
      <w:pPr>
        <w:pStyle w:val="06-Citaolegal-linhafinal-CLG"/>
      </w:pPr>
      <w:r>
        <w:t xml:space="preserve">II – </w:t>
      </w:r>
      <w:r w:rsidRPr="00144084">
        <w:t>dos valores inscritos em restos a pagar nas operações de equalização de taxa de juros, no último exercício financeiro e no acumulado total</w:t>
      </w:r>
      <w:r>
        <w:t>.</w:t>
      </w:r>
      <w:r w:rsidRPr="00DA0CB3">
        <w:t>”</w:t>
      </w:r>
      <w:r>
        <w:t xml:space="preserve"> (NR)</w:t>
      </w:r>
    </w:p>
    <w:p w:rsidR="00726CFD" w:rsidRDefault="00726CFD" w:rsidP="00726CFD">
      <w:pPr>
        <w:pStyle w:val="04-PargrafodetextoEstudoNotas-CLG"/>
        <w:spacing w:line="276" w:lineRule="auto"/>
      </w:pPr>
      <w:r w:rsidRPr="00114C45">
        <w:t xml:space="preserve">A </w:t>
      </w:r>
      <w:r w:rsidR="00114C45" w:rsidRPr="00114C45">
        <w:t>emenda acolhida</w:t>
      </w:r>
      <w:r w:rsidR="00114C45">
        <w:t xml:space="preserve"> </w:t>
      </w:r>
      <w:r>
        <w:t>caminha no mesmo sentido de aumentar a transparência da atuação do BNDES, que passa em grande medida ao largo do processo orçamentário da União. Para tanto, torna obrigatória a divulgação sistemática e regular, na internet, de dados sobre o impacto fiscal bem como os valores inscritos em restos a pagar referentes às operações com subvenção econômica na modalidade de equalização de taxa de juros.</w:t>
      </w:r>
    </w:p>
    <w:p w:rsidR="00726CFD" w:rsidRPr="00A8319E" w:rsidRDefault="00114C45" w:rsidP="00726CFD">
      <w:pPr>
        <w:pStyle w:val="04-PargrafodetextoEstudoNotas-CLG"/>
        <w:spacing w:line="276" w:lineRule="auto"/>
      </w:pPr>
      <w:r w:rsidRPr="00114C45">
        <w:t>Quanto a sua regularidade formal</w:t>
      </w:r>
      <w:r w:rsidR="00726CFD">
        <w:t>, há apenas um ligeiro lapso de redação, de modo que, no inciso II da redação proposta, onde se lê “</w:t>
      </w:r>
      <w:r w:rsidR="00726CFD" w:rsidRPr="0067176A">
        <w:t xml:space="preserve">o valor </w:t>
      </w:r>
      <w:r w:rsidR="00726CFD" w:rsidRPr="00A8319E">
        <w:t>devido</w:t>
      </w:r>
      <w:r w:rsidR="00726CFD" w:rsidRPr="0067176A">
        <w:t xml:space="preserve"> </w:t>
      </w:r>
      <w:r w:rsidR="00726CFD" w:rsidRPr="00A8319E">
        <w:rPr>
          <w:u w:val="single"/>
        </w:rPr>
        <w:t>à</w:t>
      </w:r>
      <w:r w:rsidR="00726CFD" w:rsidRPr="0067176A">
        <w:t xml:space="preserve"> União</w:t>
      </w:r>
      <w:r w:rsidR="00726CFD">
        <w:t xml:space="preserve">”, cabe grafar “o valor devido </w:t>
      </w:r>
      <w:r w:rsidR="00726CFD">
        <w:rPr>
          <w:u w:val="single"/>
        </w:rPr>
        <w:t>pela</w:t>
      </w:r>
      <w:r w:rsidR="00726CFD">
        <w:t xml:space="preserve"> União”, pois é disso que se trata quanto aos créditos acumulados pelo BNDES em face do Tesouro.</w:t>
      </w:r>
    </w:p>
    <w:p w:rsidR="00127BFC" w:rsidRDefault="00127BFC" w:rsidP="007D6B86">
      <w:pPr>
        <w:jc w:val="both"/>
        <w:rPr>
          <w:rFonts w:ascii="Times New Roman" w:hAnsi="Times New Roman" w:cs="Times New Roman"/>
          <w:b/>
          <w:bCs/>
          <w:i/>
          <w:sz w:val="28"/>
          <w:szCs w:val="28"/>
        </w:rPr>
      </w:pPr>
    </w:p>
    <w:p w:rsidR="00BD1CC8" w:rsidRPr="007429DB" w:rsidRDefault="007429DB" w:rsidP="007D6B86">
      <w:pPr>
        <w:jc w:val="both"/>
        <w:rPr>
          <w:rFonts w:ascii="Times New Roman" w:hAnsi="Times New Roman" w:cs="Times New Roman"/>
          <w:b/>
          <w:bCs/>
          <w:sz w:val="32"/>
          <w:szCs w:val="32"/>
        </w:rPr>
      </w:pPr>
      <w:r w:rsidRPr="007429DB">
        <w:rPr>
          <w:rFonts w:ascii="Times New Roman" w:hAnsi="Times New Roman" w:cs="Times New Roman"/>
          <w:b/>
          <w:bCs/>
          <w:sz w:val="32"/>
          <w:szCs w:val="32"/>
        </w:rPr>
        <w:t xml:space="preserve">III – VOTO </w:t>
      </w:r>
    </w:p>
    <w:p w:rsidR="00BD1CC8" w:rsidRPr="0067135F" w:rsidRDefault="00BD1CC8" w:rsidP="007D6B86">
      <w:pPr>
        <w:jc w:val="both"/>
        <w:rPr>
          <w:rFonts w:ascii="Times New Roman" w:hAnsi="Times New Roman" w:cs="Times New Roman"/>
          <w:b/>
          <w:bCs/>
          <w:i/>
          <w:sz w:val="28"/>
          <w:szCs w:val="28"/>
        </w:rPr>
      </w:pPr>
    </w:p>
    <w:p w:rsidR="00D07148" w:rsidRDefault="00F66B61" w:rsidP="007D6B86">
      <w:pPr>
        <w:pStyle w:val="Default"/>
        <w:spacing w:before="120" w:line="276" w:lineRule="auto"/>
        <w:ind w:firstLine="1133"/>
        <w:jc w:val="both"/>
        <w:rPr>
          <w:rFonts w:ascii="Times New Roman" w:hAnsi="Times New Roman" w:cs="Times New Roman"/>
          <w:bCs/>
          <w:color w:val="auto"/>
          <w:sz w:val="28"/>
          <w:szCs w:val="28"/>
        </w:rPr>
      </w:pPr>
      <w:r w:rsidRPr="0067135F">
        <w:rPr>
          <w:rFonts w:ascii="Times New Roman" w:hAnsi="Times New Roman" w:cs="Times New Roman"/>
          <w:bCs/>
          <w:color w:val="auto"/>
          <w:sz w:val="28"/>
          <w:szCs w:val="28"/>
        </w:rPr>
        <w:t xml:space="preserve">Diante do exposto, </w:t>
      </w:r>
      <w:r w:rsidR="00D07148">
        <w:rPr>
          <w:rFonts w:ascii="Times New Roman" w:hAnsi="Times New Roman" w:cs="Times New Roman"/>
          <w:bCs/>
          <w:color w:val="auto"/>
          <w:sz w:val="28"/>
          <w:szCs w:val="28"/>
        </w:rPr>
        <w:t xml:space="preserve">votamos pela </w:t>
      </w:r>
      <w:r w:rsidR="00D07148" w:rsidRPr="006078B8">
        <w:rPr>
          <w:rFonts w:ascii="Times New Roman" w:hAnsi="Times New Roman" w:cs="Times New Roman"/>
          <w:bCs/>
          <w:color w:val="auto"/>
          <w:sz w:val="28"/>
          <w:szCs w:val="28"/>
        </w:rPr>
        <w:t>relevância, urgência, constitucionalidade, juridicidade, boa técnica legislativa, compatibilidade, adequação orçamentária e financeira, bem como, no mérito, pela aprovação</w:t>
      </w:r>
      <w:r w:rsidR="006078B8">
        <w:rPr>
          <w:rFonts w:ascii="Times New Roman" w:hAnsi="Times New Roman" w:cs="Times New Roman"/>
          <w:bCs/>
          <w:color w:val="auto"/>
          <w:sz w:val="28"/>
          <w:szCs w:val="28"/>
        </w:rPr>
        <w:t xml:space="preserve"> da Medida Provisória n° 663, de 2014, </w:t>
      </w:r>
      <w:r w:rsidR="00520D3C">
        <w:rPr>
          <w:rFonts w:ascii="Times New Roman" w:hAnsi="Times New Roman" w:cs="Times New Roman"/>
          <w:bCs/>
          <w:color w:val="auto"/>
          <w:sz w:val="28"/>
          <w:szCs w:val="28"/>
        </w:rPr>
        <w:t xml:space="preserve">com aprovação somente da emenda nº 26, de autoria do Senador José Serra, e rejeição das demais emendas apresentadas, </w:t>
      </w:r>
      <w:r w:rsidR="00D07148">
        <w:rPr>
          <w:rFonts w:ascii="Times New Roman" w:hAnsi="Times New Roman" w:cs="Times New Roman"/>
          <w:bCs/>
          <w:color w:val="auto"/>
          <w:sz w:val="28"/>
          <w:szCs w:val="28"/>
        </w:rPr>
        <w:t>nos termos do Projet</w:t>
      </w:r>
      <w:r w:rsidR="00520D3C">
        <w:rPr>
          <w:rFonts w:ascii="Times New Roman" w:hAnsi="Times New Roman" w:cs="Times New Roman"/>
          <w:bCs/>
          <w:color w:val="auto"/>
          <w:sz w:val="28"/>
          <w:szCs w:val="28"/>
        </w:rPr>
        <w:t>o de Lei de Conversão em anexo.</w:t>
      </w:r>
    </w:p>
    <w:p w:rsidR="00520D3C" w:rsidRDefault="00520D3C" w:rsidP="0067135F">
      <w:pPr>
        <w:pStyle w:val="Default"/>
        <w:spacing w:before="120"/>
        <w:ind w:firstLine="1133"/>
        <w:jc w:val="both"/>
        <w:rPr>
          <w:rFonts w:ascii="Times New Roman" w:hAnsi="Times New Roman" w:cs="Times New Roman"/>
          <w:bCs/>
          <w:color w:val="auto"/>
          <w:sz w:val="28"/>
          <w:szCs w:val="28"/>
        </w:rPr>
      </w:pPr>
    </w:p>
    <w:p w:rsidR="00F66B61" w:rsidRDefault="00F66B61" w:rsidP="0067135F">
      <w:pPr>
        <w:pStyle w:val="Default"/>
        <w:spacing w:before="240"/>
        <w:ind w:firstLine="1133"/>
        <w:jc w:val="both"/>
        <w:rPr>
          <w:rFonts w:ascii="Times New Roman" w:hAnsi="Times New Roman" w:cs="Times New Roman"/>
          <w:bCs/>
          <w:color w:val="auto"/>
          <w:sz w:val="28"/>
          <w:szCs w:val="28"/>
        </w:rPr>
      </w:pPr>
      <w:r w:rsidRPr="0067135F">
        <w:rPr>
          <w:rFonts w:ascii="Times New Roman" w:hAnsi="Times New Roman" w:cs="Times New Roman"/>
          <w:bCs/>
          <w:color w:val="auto"/>
          <w:sz w:val="28"/>
          <w:szCs w:val="28"/>
        </w:rPr>
        <w:t xml:space="preserve">Sala da Comissão, </w:t>
      </w:r>
      <w:proofErr w:type="gramStart"/>
      <w:r w:rsidRPr="0067135F">
        <w:rPr>
          <w:rFonts w:ascii="Times New Roman" w:hAnsi="Times New Roman" w:cs="Times New Roman"/>
          <w:bCs/>
          <w:color w:val="auto"/>
          <w:sz w:val="28"/>
          <w:szCs w:val="28"/>
        </w:rPr>
        <w:t>em</w:t>
      </w:r>
      <w:proofErr w:type="gramEnd"/>
      <w:r w:rsidRPr="0067135F">
        <w:rPr>
          <w:rFonts w:ascii="Times New Roman" w:hAnsi="Times New Roman" w:cs="Times New Roman"/>
          <w:bCs/>
          <w:color w:val="auto"/>
          <w:sz w:val="28"/>
          <w:szCs w:val="28"/>
        </w:rPr>
        <w:t xml:space="preserve"> </w:t>
      </w:r>
    </w:p>
    <w:p w:rsidR="000F1A7A" w:rsidRDefault="000F1A7A" w:rsidP="0067135F">
      <w:pPr>
        <w:pStyle w:val="Default"/>
        <w:spacing w:before="240"/>
        <w:ind w:firstLine="1133"/>
        <w:jc w:val="both"/>
        <w:rPr>
          <w:rFonts w:ascii="Times New Roman" w:hAnsi="Times New Roman" w:cs="Times New Roman"/>
          <w:bCs/>
          <w:color w:val="auto"/>
          <w:sz w:val="28"/>
          <w:szCs w:val="28"/>
        </w:rPr>
      </w:pPr>
    </w:p>
    <w:p w:rsidR="000F1A7A" w:rsidRPr="0067135F" w:rsidRDefault="000F1A7A" w:rsidP="0067135F">
      <w:pPr>
        <w:pStyle w:val="Default"/>
        <w:spacing w:before="240"/>
        <w:ind w:firstLine="1133"/>
        <w:jc w:val="both"/>
        <w:rPr>
          <w:rFonts w:ascii="Times New Roman" w:hAnsi="Times New Roman" w:cs="Times New Roman"/>
          <w:bCs/>
          <w:color w:val="auto"/>
          <w:sz w:val="28"/>
          <w:szCs w:val="28"/>
        </w:rPr>
      </w:pPr>
      <w:bookmarkStart w:id="0" w:name="_GoBack"/>
      <w:bookmarkEnd w:id="0"/>
    </w:p>
    <w:p w:rsidR="00F66B61" w:rsidRPr="0067135F" w:rsidRDefault="003F08EA" w:rsidP="0067135F">
      <w:pPr>
        <w:pStyle w:val="Default"/>
        <w:spacing w:before="240"/>
        <w:jc w:val="center"/>
        <w:rPr>
          <w:rFonts w:ascii="Times New Roman" w:hAnsi="Times New Roman" w:cs="Times New Roman"/>
          <w:bCs/>
          <w:color w:val="auto"/>
          <w:sz w:val="28"/>
          <w:szCs w:val="28"/>
        </w:rPr>
      </w:pPr>
      <w:r w:rsidRPr="0067135F">
        <w:rPr>
          <w:rFonts w:ascii="Times New Roman" w:hAnsi="Times New Roman" w:cs="Times New Roman"/>
          <w:bCs/>
          <w:color w:val="auto"/>
          <w:sz w:val="28"/>
          <w:szCs w:val="28"/>
        </w:rPr>
        <w:t xml:space="preserve">Senador </w:t>
      </w:r>
      <w:r w:rsidRPr="007D2CBA">
        <w:rPr>
          <w:rFonts w:ascii="Times New Roman" w:hAnsi="Times New Roman" w:cs="Times New Roman"/>
          <w:b/>
          <w:bCs/>
          <w:color w:val="auto"/>
          <w:sz w:val="28"/>
          <w:szCs w:val="28"/>
        </w:rPr>
        <w:t>ATAÍDES OLIVEIRA</w:t>
      </w:r>
    </w:p>
    <w:p w:rsidR="00BD1CC8" w:rsidRDefault="00F66B61" w:rsidP="0067135F">
      <w:pPr>
        <w:spacing w:line="240" w:lineRule="auto"/>
        <w:jc w:val="center"/>
        <w:rPr>
          <w:rFonts w:ascii="Times New Roman" w:hAnsi="Times New Roman" w:cs="Times New Roman"/>
          <w:bCs/>
          <w:sz w:val="28"/>
          <w:szCs w:val="28"/>
        </w:rPr>
      </w:pPr>
      <w:r w:rsidRPr="0067135F">
        <w:rPr>
          <w:rFonts w:ascii="Times New Roman" w:hAnsi="Times New Roman" w:cs="Times New Roman"/>
          <w:bCs/>
          <w:sz w:val="28"/>
          <w:szCs w:val="28"/>
        </w:rPr>
        <w:t>Relator</w:t>
      </w:r>
    </w:p>
    <w:p w:rsidR="007B528F" w:rsidRDefault="007B528F" w:rsidP="0067135F">
      <w:pPr>
        <w:spacing w:line="240" w:lineRule="auto"/>
        <w:jc w:val="center"/>
        <w:rPr>
          <w:rFonts w:ascii="Times New Roman" w:hAnsi="Times New Roman" w:cs="Times New Roman"/>
          <w:bCs/>
          <w:sz w:val="28"/>
          <w:szCs w:val="28"/>
        </w:rPr>
      </w:pPr>
    </w:p>
    <w:p w:rsidR="007B528F" w:rsidRDefault="007B528F" w:rsidP="0067135F">
      <w:pPr>
        <w:spacing w:line="240" w:lineRule="auto"/>
        <w:jc w:val="center"/>
        <w:rPr>
          <w:rFonts w:ascii="Times New Roman" w:hAnsi="Times New Roman" w:cs="Times New Roman"/>
          <w:bCs/>
          <w:sz w:val="28"/>
          <w:szCs w:val="28"/>
        </w:rPr>
      </w:pPr>
    </w:p>
    <w:p w:rsidR="007B528F" w:rsidRPr="007B528F" w:rsidRDefault="007B528F" w:rsidP="0067135F">
      <w:pPr>
        <w:spacing w:line="240" w:lineRule="auto"/>
        <w:jc w:val="center"/>
        <w:rPr>
          <w:rFonts w:ascii="Times New Roman" w:hAnsi="Times New Roman" w:cs="Times New Roman"/>
          <w:b/>
          <w:bCs/>
          <w:sz w:val="36"/>
          <w:szCs w:val="36"/>
        </w:rPr>
      </w:pPr>
      <w:r w:rsidRPr="007B528F">
        <w:rPr>
          <w:rFonts w:ascii="Times New Roman" w:hAnsi="Times New Roman" w:cs="Times New Roman"/>
          <w:b/>
          <w:bCs/>
          <w:sz w:val="36"/>
          <w:szCs w:val="36"/>
        </w:rPr>
        <w:t xml:space="preserve">PROJETO DE LEI DE CONVERSÃO </w:t>
      </w:r>
      <w:proofErr w:type="gramStart"/>
      <w:r w:rsidRPr="007B528F">
        <w:rPr>
          <w:rFonts w:ascii="Times New Roman" w:hAnsi="Times New Roman" w:cs="Times New Roman"/>
          <w:b/>
          <w:bCs/>
          <w:sz w:val="36"/>
          <w:szCs w:val="36"/>
        </w:rPr>
        <w:t>Nº     ,</w:t>
      </w:r>
      <w:proofErr w:type="gramEnd"/>
      <w:r w:rsidRPr="007B528F">
        <w:rPr>
          <w:rFonts w:ascii="Times New Roman" w:hAnsi="Times New Roman" w:cs="Times New Roman"/>
          <w:b/>
          <w:bCs/>
          <w:sz w:val="36"/>
          <w:szCs w:val="36"/>
        </w:rPr>
        <w:t xml:space="preserve"> DE 2015</w:t>
      </w:r>
    </w:p>
    <w:p w:rsidR="007B528F" w:rsidRDefault="007B528F" w:rsidP="007B528F">
      <w:pPr>
        <w:pStyle w:val="Default"/>
        <w:ind w:left="3402"/>
        <w:jc w:val="both"/>
        <w:rPr>
          <w:rFonts w:ascii="Times New Roman" w:hAnsi="Times New Roman" w:cs="Times New Roman"/>
          <w:sz w:val="28"/>
          <w:szCs w:val="28"/>
        </w:rPr>
      </w:pPr>
    </w:p>
    <w:p w:rsidR="007B528F" w:rsidRDefault="007B528F" w:rsidP="007B528F">
      <w:pPr>
        <w:pStyle w:val="Default"/>
        <w:ind w:left="3402"/>
        <w:jc w:val="both"/>
        <w:rPr>
          <w:rFonts w:ascii="Times New Roman" w:hAnsi="Times New Roman" w:cs="Times New Roman"/>
          <w:sz w:val="28"/>
          <w:szCs w:val="28"/>
        </w:rPr>
      </w:pPr>
    </w:p>
    <w:p w:rsidR="007B528F" w:rsidRPr="0067135F" w:rsidRDefault="007B528F" w:rsidP="007B528F">
      <w:pPr>
        <w:pStyle w:val="Default"/>
        <w:ind w:left="4253"/>
        <w:jc w:val="both"/>
        <w:rPr>
          <w:rFonts w:ascii="Times New Roman" w:hAnsi="Times New Roman" w:cs="Times New Roman"/>
          <w:sz w:val="28"/>
          <w:szCs w:val="28"/>
        </w:rPr>
      </w:pPr>
      <w:r w:rsidRPr="0067135F">
        <w:rPr>
          <w:rFonts w:ascii="Times New Roman" w:hAnsi="Times New Roman" w:cs="Times New Roman"/>
          <w:sz w:val="28"/>
          <w:szCs w:val="28"/>
        </w:rPr>
        <w:t xml:space="preserve">“Altera a Lei nº 12.096, de 24 de novembro de 2009.” </w:t>
      </w:r>
    </w:p>
    <w:p w:rsidR="007B528F" w:rsidRDefault="007B528F" w:rsidP="0067135F">
      <w:pPr>
        <w:spacing w:line="240" w:lineRule="auto"/>
        <w:jc w:val="center"/>
        <w:rPr>
          <w:rFonts w:ascii="Times New Roman" w:hAnsi="Times New Roman" w:cs="Times New Roman"/>
          <w:b/>
          <w:bCs/>
          <w:sz w:val="32"/>
          <w:szCs w:val="32"/>
        </w:rPr>
      </w:pPr>
    </w:p>
    <w:p w:rsidR="007B528F" w:rsidRDefault="007B528F" w:rsidP="0067135F">
      <w:pPr>
        <w:spacing w:line="240" w:lineRule="auto"/>
        <w:jc w:val="center"/>
        <w:rPr>
          <w:rFonts w:ascii="Times New Roman" w:hAnsi="Times New Roman" w:cs="Times New Roman"/>
          <w:b/>
          <w:bCs/>
          <w:sz w:val="32"/>
          <w:szCs w:val="32"/>
        </w:rPr>
      </w:pPr>
    </w:p>
    <w:p w:rsidR="002F3ABA" w:rsidRPr="002F3ABA" w:rsidRDefault="002F3ABA" w:rsidP="002F3ABA">
      <w:pPr>
        <w:spacing w:line="240" w:lineRule="auto"/>
        <w:ind w:firstLine="708"/>
        <w:rPr>
          <w:rFonts w:ascii="Times New Roman" w:hAnsi="Times New Roman" w:cs="Times New Roman"/>
          <w:bCs/>
          <w:sz w:val="32"/>
          <w:szCs w:val="32"/>
        </w:rPr>
      </w:pPr>
      <w:r>
        <w:rPr>
          <w:rFonts w:ascii="Times New Roman" w:hAnsi="Times New Roman" w:cs="Times New Roman"/>
          <w:bCs/>
          <w:sz w:val="32"/>
          <w:szCs w:val="32"/>
        </w:rPr>
        <w:t>O CONGRESSO NACIONAL decreta</w:t>
      </w:r>
      <w:r w:rsidRPr="002F3ABA">
        <w:rPr>
          <w:rFonts w:ascii="Times New Roman" w:hAnsi="Times New Roman" w:cs="Times New Roman"/>
          <w:bCs/>
          <w:sz w:val="32"/>
          <w:szCs w:val="32"/>
        </w:rPr>
        <w:t>:</w:t>
      </w:r>
    </w:p>
    <w:p w:rsidR="002F3ABA" w:rsidRPr="002F3ABA" w:rsidRDefault="002F3ABA" w:rsidP="002F3ABA">
      <w:pPr>
        <w:spacing w:line="240" w:lineRule="auto"/>
        <w:rPr>
          <w:rFonts w:ascii="Times New Roman" w:hAnsi="Times New Roman" w:cs="Times New Roman"/>
          <w:bCs/>
          <w:sz w:val="32"/>
          <w:szCs w:val="32"/>
        </w:rPr>
      </w:pPr>
    </w:p>
    <w:p w:rsidR="002F3ABA" w:rsidRPr="002F3ABA" w:rsidRDefault="002F3ABA" w:rsidP="002F3ABA">
      <w:pPr>
        <w:spacing w:line="240" w:lineRule="auto"/>
        <w:ind w:firstLine="708"/>
        <w:jc w:val="both"/>
        <w:rPr>
          <w:rFonts w:ascii="Times New Roman" w:hAnsi="Times New Roman" w:cs="Times New Roman"/>
          <w:bCs/>
          <w:sz w:val="32"/>
          <w:szCs w:val="32"/>
        </w:rPr>
      </w:pPr>
      <w:r w:rsidRPr="002F3ABA">
        <w:rPr>
          <w:rFonts w:ascii="Times New Roman" w:hAnsi="Times New Roman" w:cs="Times New Roman"/>
          <w:bCs/>
          <w:sz w:val="32"/>
          <w:szCs w:val="32"/>
        </w:rPr>
        <w:t>Art. 1º A Lei nº 12.096, de 24 de novembro de 2009, passa a vigorar com as seguintes alterações:</w:t>
      </w:r>
    </w:p>
    <w:p w:rsidR="002F3ABA" w:rsidRPr="002F3ABA" w:rsidRDefault="002F3ABA" w:rsidP="002F3ABA">
      <w:pPr>
        <w:spacing w:line="240" w:lineRule="auto"/>
        <w:rPr>
          <w:rFonts w:ascii="Times New Roman" w:hAnsi="Times New Roman" w:cs="Times New Roman"/>
          <w:bCs/>
          <w:sz w:val="32"/>
          <w:szCs w:val="32"/>
        </w:rPr>
      </w:pPr>
    </w:p>
    <w:p w:rsidR="002F3ABA" w:rsidRPr="002F3ABA" w:rsidRDefault="002F3ABA" w:rsidP="002F3ABA">
      <w:pPr>
        <w:spacing w:line="240" w:lineRule="auto"/>
        <w:jc w:val="both"/>
        <w:rPr>
          <w:rFonts w:ascii="Times New Roman" w:hAnsi="Times New Roman" w:cs="Times New Roman"/>
          <w:bCs/>
          <w:sz w:val="32"/>
          <w:szCs w:val="32"/>
        </w:rPr>
      </w:pPr>
      <w:proofErr w:type="gramStart"/>
      <w:r w:rsidRPr="002F3ABA">
        <w:rPr>
          <w:rFonts w:ascii="Times New Roman" w:hAnsi="Times New Roman" w:cs="Times New Roman"/>
          <w:bCs/>
          <w:sz w:val="32"/>
          <w:szCs w:val="32"/>
        </w:rPr>
        <w:t>"Art. 1º Fica a União autorizada a conceder subvenção econômica, sob a modalidade de equalização de taxas de juros, nas operações de financiamento contratadas até 31 de dezembro de 2015:</w:t>
      </w:r>
    </w:p>
    <w:p w:rsidR="002F3ABA" w:rsidRPr="002F3ABA" w:rsidRDefault="002F3ABA" w:rsidP="002F3ABA">
      <w:pPr>
        <w:spacing w:line="240" w:lineRule="auto"/>
        <w:rPr>
          <w:rFonts w:ascii="Times New Roman" w:hAnsi="Times New Roman" w:cs="Times New Roman"/>
          <w:bCs/>
          <w:sz w:val="32"/>
          <w:szCs w:val="32"/>
        </w:rPr>
      </w:pPr>
      <w:r w:rsidRPr="002F3ABA">
        <w:rPr>
          <w:rFonts w:ascii="Times New Roman" w:hAnsi="Times New Roman" w:cs="Times New Roman"/>
          <w:bCs/>
          <w:sz w:val="32"/>
          <w:szCs w:val="32"/>
        </w:rPr>
        <w:lastRenderedPageBreak/>
        <w:t>..........................................................................................................</w:t>
      </w:r>
      <w:r w:rsidR="00F3753B">
        <w:rPr>
          <w:rFonts w:ascii="Times New Roman" w:hAnsi="Times New Roman" w:cs="Times New Roman"/>
          <w:bCs/>
          <w:sz w:val="32"/>
          <w:szCs w:val="32"/>
        </w:rPr>
        <w:t>.......</w:t>
      </w:r>
      <w:proofErr w:type="gramEnd"/>
    </w:p>
    <w:p w:rsidR="002F3ABA" w:rsidRPr="002F3ABA" w:rsidRDefault="002F3ABA" w:rsidP="002F3ABA">
      <w:pPr>
        <w:spacing w:line="240" w:lineRule="auto"/>
        <w:rPr>
          <w:rFonts w:ascii="Times New Roman" w:hAnsi="Times New Roman" w:cs="Times New Roman"/>
          <w:bCs/>
          <w:sz w:val="32"/>
          <w:szCs w:val="32"/>
        </w:rPr>
      </w:pPr>
    </w:p>
    <w:p w:rsidR="002F3ABA" w:rsidRPr="002F3ABA" w:rsidRDefault="002F3ABA" w:rsidP="002F3ABA">
      <w:pPr>
        <w:spacing w:line="240" w:lineRule="auto"/>
        <w:rPr>
          <w:rFonts w:ascii="Times New Roman" w:hAnsi="Times New Roman" w:cs="Times New Roman"/>
          <w:bCs/>
          <w:sz w:val="32"/>
          <w:szCs w:val="32"/>
        </w:rPr>
      </w:pPr>
      <w:r w:rsidRPr="002F3ABA">
        <w:rPr>
          <w:rFonts w:ascii="Times New Roman" w:hAnsi="Times New Roman" w:cs="Times New Roman"/>
          <w:bCs/>
          <w:sz w:val="32"/>
          <w:szCs w:val="32"/>
        </w:rPr>
        <w:t>§ 1º O valor total dos financiamentos subvencionados pela União é limitado ao montante de até R$ 452.000.000.000,00 (quatrocentos e cinquenta e dois bilhões de reais).</w:t>
      </w:r>
    </w:p>
    <w:p w:rsidR="002F3ABA" w:rsidRPr="002F3ABA" w:rsidRDefault="002F3ABA" w:rsidP="002F3ABA">
      <w:pPr>
        <w:spacing w:line="240" w:lineRule="auto"/>
        <w:rPr>
          <w:rFonts w:ascii="Times New Roman" w:hAnsi="Times New Roman" w:cs="Times New Roman"/>
          <w:bCs/>
          <w:sz w:val="32"/>
          <w:szCs w:val="32"/>
        </w:rPr>
      </w:pPr>
    </w:p>
    <w:p w:rsidR="002F3ABA" w:rsidRPr="002F3ABA" w:rsidRDefault="002F3ABA" w:rsidP="002F3ABA">
      <w:pPr>
        <w:spacing w:line="240" w:lineRule="auto"/>
        <w:rPr>
          <w:rFonts w:ascii="Times New Roman" w:hAnsi="Times New Roman" w:cs="Times New Roman"/>
          <w:bCs/>
          <w:sz w:val="32"/>
          <w:szCs w:val="32"/>
        </w:rPr>
      </w:pPr>
      <w:r w:rsidRPr="002F3ABA">
        <w:rPr>
          <w:rFonts w:ascii="Times New Roman" w:hAnsi="Times New Roman" w:cs="Times New Roman"/>
          <w:bCs/>
          <w:sz w:val="32"/>
          <w:szCs w:val="32"/>
        </w:rPr>
        <w:t>.....................................................................</w:t>
      </w:r>
      <w:r w:rsidR="00F3753B">
        <w:rPr>
          <w:rFonts w:ascii="Times New Roman" w:hAnsi="Times New Roman" w:cs="Times New Roman"/>
          <w:bCs/>
          <w:sz w:val="32"/>
          <w:szCs w:val="32"/>
        </w:rPr>
        <w:t>..........................................</w:t>
      </w:r>
    </w:p>
    <w:p w:rsidR="002F3ABA" w:rsidRDefault="002F3ABA" w:rsidP="002F3ABA">
      <w:pPr>
        <w:spacing w:line="240" w:lineRule="auto"/>
        <w:rPr>
          <w:rFonts w:ascii="Times New Roman" w:hAnsi="Times New Roman" w:cs="Times New Roman"/>
          <w:bCs/>
          <w:sz w:val="32"/>
          <w:szCs w:val="32"/>
        </w:rPr>
      </w:pPr>
    </w:p>
    <w:p w:rsidR="00D66264" w:rsidRDefault="00D66264" w:rsidP="00D66264">
      <w:pPr>
        <w:spacing w:line="240" w:lineRule="auto"/>
        <w:jc w:val="both"/>
        <w:rPr>
          <w:rFonts w:ascii="Times New Roman" w:hAnsi="Times New Roman" w:cs="Times New Roman"/>
          <w:bCs/>
          <w:sz w:val="32"/>
          <w:szCs w:val="32"/>
        </w:rPr>
      </w:pPr>
      <w:r w:rsidRPr="002F3ABA">
        <w:rPr>
          <w:rFonts w:ascii="Times New Roman" w:hAnsi="Times New Roman" w:cs="Times New Roman"/>
          <w:bCs/>
          <w:sz w:val="32"/>
          <w:szCs w:val="32"/>
        </w:rPr>
        <w:t>§ 1</w:t>
      </w:r>
      <w:r>
        <w:rPr>
          <w:rFonts w:ascii="Times New Roman" w:hAnsi="Times New Roman" w:cs="Times New Roman"/>
          <w:bCs/>
          <w:sz w:val="32"/>
          <w:szCs w:val="32"/>
        </w:rPr>
        <w:t>7</w:t>
      </w:r>
      <w:r w:rsidRPr="002F3ABA">
        <w:rPr>
          <w:rFonts w:ascii="Times New Roman" w:hAnsi="Times New Roman" w:cs="Times New Roman"/>
          <w:bCs/>
          <w:sz w:val="32"/>
          <w:szCs w:val="32"/>
        </w:rPr>
        <w:t>º</w:t>
      </w:r>
      <w:r>
        <w:rPr>
          <w:rFonts w:ascii="Times New Roman" w:hAnsi="Times New Roman" w:cs="Times New Roman"/>
          <w:bCs/>
          <w:sz w:val="32"/>
          <w:szCs w:val="32"/>
        </w:rPr>
        <w:t xml:space="preserve"> O Ministério da Fazenda publicará, até o último dia do mês subsequente a cada bimestre, na internet, os seguintes demonstrativos:</w:t>
      </w:r>
    </w:p>
    <w:p w:rsidR="00D66264" w:rsidRDefault="00D66264" w:rsidP="00D66264">
      <w:pPr>
        <w:spacing w:line="240" w:lineRule="auto"/>
        <w:jc w:val="both"/>
        <w:rPr>
          <w:rFonts w:ascii="Times New Roman" w:hAnsi="Times New Roman" w:cs="Times New Roman"/>
          <w:bCs/>
          <w:sz w:val="32"/>
          <w:szCs w:val="32"/>
        </w:rPr>
      </w:pPr>
    </w:p>
    <w:p w:rsidR="00D66264" w:rsidRDefault="00D66264" w:rsidP="00D66264">
      <w:pPr>
        <w:spacing w:line="240" w:lineRule="auto"/>
        <w:jc w:val="both"/>
        <w:rPr>
          <w:rFonts w:ascii="Times New Roman" w:hAnsi="Times New Roman" w:cs="Times New Roman"/>
          <w:bCs/>
          <w:sz w:val="32"/>
          <w:szCs w:val="32"/>
        </w:rPr>
      </w:pPr>
      <w:r>
        <w:rPr>
          <w:rFonts w:ascii="Times New Roman" w:hAnsi="Times New Roman" w:cs="Times New Roman"/>
          <w:bCs/>
          <w:sz w:val="32"/>
          <w:szCs w:val="32"/>
        </w:rPr>
        <w:t>I – do impacto fiscal das operações do Tesouro Nacional com o BNDES, juntamente com a metodologia de cálculo utilizada, considerando o custo de captação do Go</w:t>
      </w:r>
      <w:r w:rsidR="00726CFD">
        <w:rPr>
          <w:rFonts w:ascii="Times New Roman" w:hAnsi="Times New Roman" w:cs="Times New Roman"/>
          <w:bCs/>
          <w:sz w:val="32"/>
          <w:szCs w:val="32"/>
        </w:rPr>
        <w:t>verno Federal e o valor devido pela</w:t>
      </w:r>
      <w:r>
        <w:rPr>
          <w:rFonts w:ascii="Times New Roman" w:hAnsi="Times New Roman" w:cs="Times New Roman"/>
          <w:bCs/>
          <w:sz w:val="32"/>
          <w:szCs w:val="32"/>
        </w:rPr>
        <w:t xml:space="preserve"> União;</w:t>
      </w:r>
    </w:p>
    <w:p w:rsidR="00D66264" w:rsidRDefault="00D66264" w:rsidP="00D66264">
      <w:pPr>
        <w:spacing w:line="240" w:lineRule="auto"/>
        <w:jc w:val="both"/>
        <w:rPr>
          <w:rFonts w:ascii="Times New Roman" w:hAnsi="Times New Roman" w:cs="Times New Roman"/>
          <w:bCs/>
          <w:sz w:val="32"/>
          <w:szCs w:val="32"/>
        </w:rPr>
      </w:pPr>
    </w:p>
    <w:p w:rsidR="00D66264" w:rsidRDefault="00D66264" w:rsidP="00D66264">
      <w:pPr>
        <w:spacing w:line="240" w:lineRule="auto"/>
        <w:jc w:val="both"/>
        <w:rPr>
          <w:rFonts w:ascii="Times New Roman" w:hAnsi="Times New Roman" w:cs="Times New Roman"/>
          <w:bCs/>
          <w:sz w:val="32"/>
          <w:szCs w:val="32"/>
        </w:rPr>
      </w:pPr>
      <w:r>
        <w:rPr>
          <w:rFonts w:ascii="Times New Roman" w:hAnsi="Times New Roman" w:cs="Times New Roman"/>
          <w:bCs/>
          <w:sz w:val="32"/>
          <w:szCs w:val="32"/>
        </w:rPr>
        <w:t xml:space="preserve">II – dos valores inscritos em restos a pagar nas operações de equalização de taxa de juros, no último exercício financeiro e no acumulado total”. </w:t>
      </w:r>
      <w:r w:rsidR="00F3753B">
        <w:rPr>
          <w:rFonts w:ascii="Times New Roman" w:hAnsi="Times New Roman" w:cs="Times New Roman"/>
          <w:bCs/>
          <w:sz w:val="32"/>
          <w:szCs w:val="32"/>
        </w:rPr>
        <w:t>(NR)</w:t>
      </w:r>
    </w:p>
    <w:p w:rsidR="00D66264" w:rsidRPr="002F3ABA" w:rsidRDefault="00D66264" w:rsidP="002F3ABA">
      <w:pPr>
        <w:spacing w:line="240" w:lineRule="auto"/>
        <w:rPr>
          <w:rFonts w:ascii="Times New Roman" w:hAnsi="Times New Roman" w:cs="Times New Roman"/>
          <w:bCs/>
          <w:sz w:val="32"/>
          <w:szCs w:val="32"/>
        </w:rPr>
      </w:pPr>
    </w:p>
    <w:p w:rsidR="002F3ABA" w:rsidRPr="002F3ABA" w:rsidRDefault="002F3ABA" w:rsidP="002F3ABA">
      <w:pPr>
        <w:spacing w:line="240" w:lineRule="auto"/>
        <w:rPr>
          <w:rFonts w:ascii="Times New Roman" w:hAnsi="Times New Roman" w:cs="Times New Roman"/>
          <w:bCs/>
          <w:sz w:val="32"/>
          <w:szCs w:val="32"/>
        </w:rPr>
      </w:pPr>
      <w:r w:rsidRPr="002F3ABA">
        <w:rPr>
          <w:rFonts w:ascii="Times New Roman" w:hAnsi="Times New Roman" w:cs="Times New Roman"/>
          <w:bCs/>
          <w:sz w:val="32"/>
          <w:szCs w:val="32"/>
        </w:rPr>
        <w:t xml:space="preserve">Art. 2º Esta </w:t>
      </w:r>
      <w:r>
        <w:rPr>
          <w:rFonts w:ascii="Times New Roman" w:hAnsi="Times New Roman" w:cs="Times New Roman"/>
          <w:bCs/>
          <w:sz w:val="32"/>
          <w:szCs w:val="32"/>
        </w:rPr>
        <w:t>Lei</w:t>
      </w:r>
      <w:r w:rsidRPr="002F3ABA">
        <w:rPr>
          <w:rFonts w:ascii="Times New Roman" w:hAnsi="Times New Roman" w:cs="Times New Roman"/>
          <w:bCs/>
          <w:sz w:val="32"/>
          <w:szCs w:val="32"/>
        </w:rPr>
        <w:t xml:space="preserve"> entra em vigor na data de sua publicação.</w:t>
      </w:r>
    </w:p>
    <w:p w:rsidR="002F3ABA" w:rsidRPr="002F3ABA" w:rsidRDefault="002F3ABA" w:rsidP="002F3ABA">
      <w:pPr>
        <w:spacing w:line="240" w:lineRule="auto"/>
        <w:rPr>
          <w:rFonts w:ascii="Times New Roman" w:hAnsi="Times New Roman" w:cs="Times New Roman"/>
          <w:bCs/>
          <w:sz w:val="32"/>
          <w:szCs w:val="32"/>
        </w:rPr>
      </w:pPr>
    </w:p>
    <w:p w:rsidR="007B528F" w:rsidRDefault="007B528F" w:rsidP="002F3ABA">
      <w:pPr>
        <w:spacing w:line="240" w:lineRule="auto"/>
        <w:rPr>
          <w:rFonts w:ascii="Times New Roman" w:hAnsi="Times New Roman" w:cs="Times New Roman"/>
          <w:bCs/>
          <w:sz w:val="32"/>
          <w:szCs w:val="32"/>
        </w:rPr>
      </w:pPr>
    </w:p>
    <w:p w:rsidR="002F3ABA" w:rsidRDefault="002F3ABA" w:rsidP="002F3ABA">
      <w:pPr>
        <w:pStyle w:val="Default"/>
        <w:spacing w:before="240"/>
        <w:ind w:firstLine="1133"/>
        <w:jc w:val="both"/>
        <w:rPr>
          <w:rFonts w:ascii="Times New Roman" w:hAnsi="Times New Roman" w:cs="Times New Roman"/>
          <w:bCs/>
          <w:color w:val="auto"/>
          <w:sz w:val="28"/>
          <w:szCs w:val="28"/>
        </w:rPr>
      </w:pPr>
      <w:r w:rsidRPr="0067135F">
        <w:rPr>
          <w:rFonts w:ascii="Times New Roman" w:hAnsi="Times New Roman" w:cs="Times New Roman"/>
          <w:bCs/>
          <w:color w:val="auto"/>
          <w:sz w:val="28"/>
          <w:szCs w:val="28"/>
        </w:rPr>
        <w:t xml:space="preserve">Sala da Comissão, </w:t>
      </w:r>
      <w:proofErr w:type="gramStart"/>
      <w:r w:rsidRPr="0067135F">
        <w:rPr>
          <w:rFonts w:ascii="Times New Roman" w:hAnsi="Times New Roman" w:cs="Times New Roman"/>
          <w:bCs/>
          <w:color w:val="auto"/>
          <w:sz w:val="28"/>
          <w:szCs w:val="28"/>
        </w:rPr>
        <w:t>em</w:t>
      </w:r>
      <w:proofErr w:type="gramEnd"/>
      <w:r w:rsidRPr="0067135F">
        <w:rPr>
          <w:rFonts w:ascii="Times New Roman" w:hAnsi="Times New Roman" w:cs="Times New Roman"/>
          <w:bCs/>
          <w:color w:val="auto"/>
          <w:sz w:val="28"/>
          <w:szCs w:val="28"/>
        </w:rPr>
        <w:t xml:space="preserve"> </w:t>
      </w:r>
    </w:p>
    <w:p w:rsidR="002F3ABA" w:rsidRDefault="002F3ABA" w:rsidP="002F3ABA">
      <w:pPr>
        <w:pStyle w:val="Default"/>
        <w:spacing w:before="240"/>
        <w:ind w:firstLine="1133"/>
        <w:jc w:val="both"/>
        <w:rPr>
          <w:rFonts w:ascii="Times New Roman" w:hAnsi="Times New Roman" w:cs="Times New Roman"/>
          <w:bCs/>
          <w:color w:val="auto"/>
          <w:sz w:val="28"/>
          <w:szCs w:val="28"/>
        </w:rPr>
      </w:pPr>
    </w:p>
    <w:p w:rsidR="002F3ABA" w:rsidRPr="0067135F" w:rsidRDefault="002F3ABA" w:rsidP="002F3ABA">
      <w:pPr>
        <w:pStyle w:val="Default"/>
        <w:spacing w:before="240"/>
        <w:ind w:firstLine="1133"/>
        <w:jc w:val="both"/>
        <w:rPr>
          <w:rFonts w:ascii="Times New Roman" w:hAnsi="Times New Roman" w:cs="Times New Roman"/>
          <w:bCs/>
          <w:color w:val="auto"/>
          <w:sz w:val="28"/>
          <w:szCs w:val="28"/>
        </w:rPr>
      </w:pPr>
    </w:p>
    <w:p w:rsidR="002F3ABA" w:rsidRPr="0067135F" w:rsidRDefault="002F3ABA" w:rsidP="002F3ABA">
      <w:pPr>
        <w:pStyle w:val="Default"/>
        <w:spacing w:before="240"/>
        <w:jc w:val="center"/>
        <w:rPr>
          <w:rFonts w:ascii="Times New Roman" w:hAnsi="Times New Roman" w:cs="Times New Roman"/>
          <w:bCs/>
          <w:color w:val="auto"/>
          <w:sz w:val="28"/>
          <w:szCs w:val="28"/>
        </w:rPr>
      </w:pPr>
      <w:r w:rsidRPr="0067135F">
        <w:rPr>
          <w:rFonts w:ascii="Times New Roman" w:hAnsi="Times New Roman" w:cs="Times New Roman"/>
          <w:bCs/>
          <w:color w:val="auto"/>
          <w:sz w:val="28"/>
          <w:szCs w:val="28"/>
        </w:rPr>
        <w:t xml:space="preserve">Senador </w:t>
      </w:r>
      <w:r w:rsidRPr="007D2CBA">
        <w:rPr>
          <w:rFonts w:ascii="Times New Roman" w:hAnsi="Times New Roman" w:cs="Times New Roman"/>
          <w:b/>
          <w:bCs/>
          <w:color w:val="auto"/>
          <w:sz w:val="28"/>
          <w:szCs w:val="28"/>
        </w:rPr>
        <w:t>ATAÍDES OLIVEIRA</w:t>
      </w:r>
    </w:p>
    <w:p w:rsidR="002F3ABA" w:rsidRPr="007B528F" w:rsidRDefault="002F3ABA" w:rsidP="00716C5B">
      <w:pPr>
        <w:spacing w:line="240" w:lineRule="auto"/>
        <w:jc w:val="center"/>
        <w:rPr>
          <w:rFonts w:ascii="Times New Roman" w:hAnsi="Times New Roman" w:cs="Times New Roman"/>
          <w:bCs/>
          <w:sz w:val="32"/>
          <w:szCs w:val="32"/>
        </w:rPr>
      </w:pPr>
      <w:r w:rsidRPr="0067135F">
        <w:rPr>
          <w:rFonts w:ascii="Times New Roman" w:hAnsi="Times New Roman" w:cs="Times New Roman"/>
          <w:bCs/>
          <w:sz w:val="28"/>
          <w:szCs w:val="28"/>
        </w:rPr>
        <w:t>Relator</w:t>
      </w:r>
    </w:p>
    <w:sectPr w:rsidR="002F3ABA" w:rsidRPr="007B528F" w:rsidSect="002673DB">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F7" w:rsidRDefault="00F778F7" w:rsidP="003F08EA">
      <w:pPr>
        <w:spacing w:after="0" w:line="240" w:lineRule="auto"/>
      </w:pPr>
      <w:r>
        <w:separator/>
      </w:r>
    </w:p>
  </w:endnote>
  <w:endnote w:type="continuationSeparator" w:id="0">
    <w:p w:rsidR="00F778F7" w:rsidRDefault="00F778F7" w:rsidP="003F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F7" w:rsidRDefault="00F778F7" w:rsidP="003F08EA">
      <w:pPr>
        <w:spacing w:after="0" w:line="240" w:lineRule="auto"/>
      </w:pPr>
      <w:r>
        <w:separator/>
      </w:r>
    </w:p>
  </w:footnote>
  <w:footnote w:type="continuationSeparator" w:id="0">
    <w:p w:rsidR="00F778F7" w:rsidRDefault="00F778F7" w:rsidP="003F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0142"/>
      <w:docPartObj>
        <w:docPartGallery w:val="Page Numbers (Top of Page)"/>
        <w:docPartUnique/>
      </w:docPartObj>
    </w:sdtPr>
    <w:sdtContent>
      <w:p w:rsidR="008C594A" w:rsidRDefault="00DB5887">
        <w:pPr>
          <w:pStyle w:val="Cabealho"/>
          <w:jc w:val="right"/>
        </w:pPr>
        <w:fldSimple w:instr=" PAGE   \* MERGEFORMAT ">
          <w:r w:rsidR="00716C5B">
            <w:rPr>
              <w:noProof/>
            </w:rPr>
            <w:t>17</w:t>
          </w:r>
        </w:fldSimple>
      </w:p>
    </w:sdtContent>
  </w:sdt>
  <w:p w:rsidR="008C594A" w:rsidRDefault="008C59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320E"/>
    <w:multiLevelType w:val="hybridMultilevel"/>
    <w:tmpl w:val="FD3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514AE"/>
    <w:multiLevelType w:val="hybridMultilevel"/>
    <w:tmpl w:val="1064307A"/>
    <w:lvl w:ilvl="0" w:tplc="04160001">
      <w:start w:val="1"/>
      <w:numFmt w:val="bullet"/>
      <w:lvlText w:val=""/>
      <w:lvlJc w:val="left"/>
      <w:pPr>
        <w:ind w:left="2070" w:hanging="360"/>
      </w:pPr>
      <w:rPr>
        <w:rFonts w:ascii="Symbol" w:hAnsi="Symbol" w:hint="default"/>
      </w:rPr>
    </w:lvl>
    <w:lvl w:ilvl="1" w:tplc="04160003" w:tentative="1">
      <w:start w:val="1"/>
      <w:numFmt w:val="bullet"/>
      <w:lvlText w:val="o"/>
      <w:lvlJc w:val="left"/>
      <w:pPr>
        <w:ind w:left="2790" w:hanging="360"/>
      </w:pPr>
      <w:rPr>
        <w:rFonts w:ascii="Courier New" w:hAnsi="Courier New" w:cs="Courier New" w:hint="default"/>
      </w:rPr>
    </w:lvl>
    <w:lvl w:ilvl="2" w:tplc="04160005" w:tentative="1">
      <w:start w:val="1"/>
      <w:numFmt w:val="bullet"/>
      <w:lvlText w:val=""/>
      <w:lvlJc w:val="left"/>
      <w:pPr>
        <w:ind w:left="3510" w:hanging="360"/>
      </w:pPr>
      <w:rPr>
        <w:rFonts w:ascii="Wingdings" w:hAnsi="Wingdings" w:hint="default"/>
      </w:rPr>
    </w:lvl>
    <w:lvl w:ilvl="3" w:tplc="04160001" w:tentative="1">
      <w:start w:val="1"/>
      <w:numFmt w:val="bullet"/>
      <w:lvlText w:val=""/>
      <w:lvlJc w:val="left"/>
      <w:pPr>
        <w:ind w:left="4230" w:hanging="360"/>
      </w:pPr>
      <w:rPr>
        <w:rFonts w:ascii="Symbol" w:hAnsi="Symbol" w:hint="default"/>
      </w:rPr>
    </w:lvl>
    <w:lvl w:ilvl="4" w:tplc="04160003" w:tentative="1">
      <w:start w:val="1"/>
      <w:numFmt w:val="bullet"/>
      <w:lvlText w:val="o"/>
      <w:lvlJc w:val="left"/>
      <w:pPr>
        <w:ind w:left="4950" w:hanging="360"/>
      </w:pPr>
      <w:rPr>
        <w:rFonts w:ascii="Courier New" w:hAnsi="Courier New" w:cs="Courier New" w:hint="default"/>
      </w:rPr>
    </w:lvl>
    <w:lvl w:ilvl="5" w:tplc="04160005" w:tentative="1">
      <w:start w:val="1"/>
      <w:numFmt w:val="bullet"/>
      <w:lvlText w:val=""/>
      <w:lvlJc w:val="left"/>
      <w:pPr>
        <w:ind w:left="5670" w:hanging="360"/>
      </w:pPr>
      <w:rPr>
        <w:rFonts w:ascii="Wingdings" w:hAnsi="Wingdings" w:hint="default"/>
      </w:rPr>
    </w:lvl>
    <w:lvl w:ilvl="6" w:tplc="04160001" w:tentative="1">
      <w:start w:val="1"/>
      <w:numFmt w:val="bullet"/>
      <w:lvlText w:val=""/>
      <w:lvlJc w:val="left"/>
      <w:pPr>
        <w:ind w:left="6390" w:hanging="360"/>
      </w:pPr>
      <w:rPr>
        <w:rFonts w:ascii="Symbol" w:hAnsi="Symbol" w:hint="default"/>
      </w:rPr>
    </w:lvl>
    <w:lvl w:ilvl="7" w:tplc="04160003" w:tentative="1">
      <w:start w:val="1"/>
      <w:numFmt w:val="bullet"/>
      <w:lvlText w:val="o"/>
      <w:lvlJc w:val="left"/>
      <w:pPr>
        <w:ind w:left="7110" w:hanging="360"/>
      </w:pPr>
      <w:rPr>
        <w:rFonts w:ascii="Courier New" w:hAnsi="Courier New" w:cs="Courier New" w:hint="default"/>
      </w:rPr>
    </w:lvl>
    <w:lvl w:ilvl="8" w:tplc="04160005" w:tentative="1">
      <w:start w:val="1"/>
      <w:numFmt w:val="bullet"/>
      <w:lvlText w:val=""/>
      <w:lvlJc w:val="left"/>
      <w:pPr>
        <w:ind w:left="7830" w:hanging="360"/>
      </w:pPr>
      <w:rPr>
        <w:rFonts w:ascii="Wingdings" w:hAnsi="Wingdings" w:hint="default"/>
      </w:rPr>
    </w:lvl>
  </w:abstractNum>
  <w:abstractNum w:abstractNumId="2">
    <w:nsid w:val="33DA60D3"/>
    <w:multiLevelType w:val="hybridMultilevel"/>
    <w:tmpl w:val="1D70C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D0600"/>
    <w:multiLevelType w:val="hybridMultilevel"/>
    <w:tmpl w:val="DD081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70616"/>
    <w:multiLevelType w:val="hybridMultilevel"/>
    <w:tmpl w:val="5DFACCCE"/>
    <w:lvl w:ilvl="0" w:tplc="8AB8169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7D36"/>
    <w:rsid w:val="00007D36"/>
    <w:rsid w:val="00010352"/>
    <w:rsid w:val="0001169D"/>
    <w:rsid w:val="00020D29"/>
    <w:rsid w:val="000333C9"/>
    <w:rsid w:val="000359B3"/>
    <w:rsid w:val="000405F3"/>
    <w:rsid w:val="00077807"/>
    <w:rsid w:val="000829F9"/>
    <w:rsid w:val="00091114"/>
    <w:rsid w:val="000944E0"/>
    <w:rsid w:val="000A43F8"/>
    <w:rsid w:val="000C1231"/>
    <w:rsid w:val="000C28A5"/>
    <w:rsid w:val="000E5573"/>
    <w:rsid w:val="000F1A7A"/>
    <w:rsid w:val="000F70B9"/>
    <w:rsid w:val="001016AE"/>
    <w:rsid w:val="00114C45"/>
    <w:rsid w:val="00127BFC"/>
    <w:rsid w:val="00131B78"/>
    <w:rsid w:val="001363A6"/>
    <w:rsid w:val="00147FA0"/>
    <w:rsid w:val="00153E52"/>
    <w:rsid w:val="001663A6"/>
    <w:rsid w:val="00175F3B"/>
    <w:rsid w:val="001A49C5"/>
    <w:rsid w:val="001B23DE"/>
    <w:rsid w:val="001C72DD"/>
    <w:rsid w:val="001F5AA9"/>
    <w:rsid w:val="002129AF"/>
    <w:rsid w:val="00212F34"/>
    <w:rsid w:val="00221D23"/>
    <w:rsid w:val="00237978"/>
    <w:rsid w:val="002673DB"/>
    <w:rsid w:val="00273276"/>
    <w:rsid w:val="00274254"/>
    <w:rsid w:val="00297044"/>
    <w:rsid w:val="002C53FF"/>
    <w:rsid w:val="002D432F"/>
    <w:rsid w:val="002F3ABA"/>
    <w:rsid w:val="002F4D8C"/>
    <w:rsid w:val="00312E06"/>
    <w:rsid w:val="003142CD"/>
    <w:rsid w:val="003322FC"/>
    <w:rsid w:val="003478AB"/>
    <w:rsid w:val="003677F5"/>
    <w:rsid w:val="00370E6E"/>
    <w:rsid w:val="00394A3C"/>
    <w:rsid w:val="003B08A1"/>
    <w:rsid w:val="003E3BC6"/>
    <w:rsid w:val="003F08EA"/>
    <w:rsid w:val="003F2A68"/>
    <w:rsid w:val="003F3109"/>
    <w:rsid w:val="004432C0"/>
    <w:rsid w:val="00452E0F"/>
    <w:rsid w:val="00454289"/>
    <w:rsid w:val="004575CB"/>
    <w:rsid w:val="0047238E"/>
    <w:rsid w:val="004A3CB0"/>
    <w:rsid w:val="004B100E"/>
    <w:rsid w:val="005169CC"/>
    <w:rsid w:val="00520B4A"/>
    <w:rsid w:val="00520D3C"/>
    <w:rsid w:val="00546F8A"/>
    <w:rsid w:val="0055776E"/>
    <w:rsid w:val="00562A8B"/>
    <w:rsid w:val="0056697E"/>
    <w:rsid w:val="00573F8A"/>
    <w:rsid w:val="005844FB"/>
    <w:rsid w:val="00591277"/>
    <w:rsid w:val="005A43EA"/>
    <w:rsid w:val="005B11F3"/>
    <w:rsid w:val="00602046"/>
    <w:rsid w:val="006039BB"/>
    <w:rsid w:val="006078B8"/>
    <w:rsid w:val="00630338"/>
    <w:rsid w:val="006522D9"/>
    <w:rsid w:val="006575B5"/>
    <w:rsid w:val="0067135F"/>
    <w:rsid w:val="00681C3A"/>
    <w:rsid w:val="006904D9"/>
    <w:rsid w:val="006E0B5A"/>
    <w:rsid w:val="00705ECE"/>
    <w:rsid w:val="00711EDA"/>
    <w:rsid w:val="00714C25"/>
    <w:rsid w:val="00716C5B"/>
    <w:rsid w:val="00726CFD"/>
    <w:rsid w:val="00731B58"/>
    <w:rsid w:val="007376A2"/>
    <w:rsid w:val="007429DB"/>
    <w:rsid w:val="007444BE"/>
    <w:rsid w:val="0079059F"/>
    <w:rsid w:val="007A2B60"/>
    <w:rsid w:val="007B20F2"/>
    <w:rsid w:val="007B528F"/>
    <w:rsid w:val="007D2CBA"/>
    <w:rsid w:val="007D6B86"/>
    <w:rsid w:val="007E4AB7"/>
    <w:rsid w:val="007E6F98"/>
    <w:rsid w:val="007F272F"/>
    <w:rsid w:val="007F5DA8"/>
    <w:rsid w:val="008107E4"/>
    <w:rsid w:val="00816DC3"/>
    <w:rsid w:val="00820884"/>
    <w:rsid w:val="00842454"/>
    <w:rsid w:val="00847858"/>
    <w:rsid w:val="00857ADA"/>
    <w:rsid w:val="00873167"/>
    <w:rsid w:val="0088427F"/>
    <w:rsid w:val="00884BC2"/>
    <w:rsid w:val="0089666A"/>
    <w:rsid w:val="008A717C"/>
    <w:rsid w:val="008B7BD1"/>
    <w:rsid w:val="008C594A"/>
    <w:rsid w:val="008D33B4"/>
    <w:rsid w:val="0091356E"/>
    <w:rsid w:val="009147A0"/>
    <w:rsid w:val="00937D89"/>
    <w:rsid w:val="009434D5"/>
    <w:rsid w:val="009436F1"/>
    <w:rsid w:val="00964131"/>
    <w:rsid w:val="00966491"/>
    <w:rsid w:val="00984F07"/>
    <w:rsid w:val="009906CE"/>
    <w:rsid w:val="009C092D"/>
    <w:rsid w:val="009D793C"/>
    <w:rsid w:val="009E46DF"/>
    <w:rsid w:val="009F186C"/>
    <w:rsid w:val="00A0686B"/>
    <w:rsid w:val="00A472F6"/>
    <w:rsid w:val="00A5711D"/>
    <w:rsid w:val="00A65978"/>
    <w:rsid w:val="00A825D9"/>
    <w:rsid w:val="00A97F31"/>
    <w:rsid w:val="00AB5A27"/>
    <w:rsid w:val="00AD1636"/>
    <w:rsid w:val="00AD262A"/>
    <w:rsid w:val="00AD48D7"/>
    <w:rsid w:val="00B06D2E"/>
    <w:rsid w:val="00B11E53"/>
    <w:rsid w:val="00B22872"/>
    <w:rsid w:val="00B25C3A"/>
    <w:rsid w:val="00B30454"/>
    <w:rsid w:val="00B40C62"/>
    <w:rsid w:val="00B63EA5"/>
    <w:rsid w:val="00B85DD8"/>
    <w:rsid w:val="00B90282"/>
    <w:rsid w:val="00B9101A"/>
    <w:rsid w:val="00BA1BC4"/>
    <w:rsid w:val="00BD13BB"/>
    <w:rsid w:val="00BD1CC8"/>
    <w:rsid w:val="00BF5AE0"/>
    <w:rsid w:val="00C117C2"/>
    <w:rsid w:val="00C22BE0"/>
    <w:rsid w:val="00C311EC"/>
    <w:rsid w:val="00C31CC1"/>
    <w:rsid w:val="00C46C9A"/>
    <w:rsid w:val="00C506A5"/>
    <w:rsid w:val="00C72AB6"/>
    <w:rsid w:val="00C758F8"/>
    <w:rsid w:val="00C9447B"/>
    <w:rsid w:val="00CB24B2"/>
    <w:rsid w:val="00CC4206"/>
    <w:rsid w:val="00CC54AE"/>
    <w:rsid w:val="00CD19A7"/>
    <w:rsid w:val="00CD3D98"/>
    <w:rsid w:val="00D07148"/>
    <w:rsid w:val="00D106BD"/>
    <w:rsid w:val="00D11E04"/>
    <w:rsid w:val="00D31C8F"/>
    <w:rsid w:val="00D422A3"/>
    <w:rsid w:val="00D66264"/>
    <w:rsid w:val="00DA744D"/>
    <w:rsid w:val="00DB5887"/>
    <w:rsid w:val="00DD54FF"/>
    <w:rsid w:val="00DD7958"/>
    <w:rsid w:val="00DE7412"/>
    <w:rsid w:val="00DF23CA"/>
    <w:rsid w:val="00E34912"/>
    <w:rsid w:val="00E6223B"/>
    <w:rsid w:val="00E713E1"/>
    <w:rsid w:val="00E77B39"/>
    <w:rsid w:val="00E97392"/>
    <w:rsid w:val="00EA1E36"/>
    <w:rsid w:val="00EA5C1C"/>
    <w:rsid w:val="00EE42FD"/>
    <w:rsid w:val="00F05ED9"/>
    <w:rsid w:val="00F135FC"/>
    <w:rsid w:val="00F15F78"/>
    <w:rsid w:val="00F3753B"/>
    <w:rsid w:val="00F402AA"/>
    <w:rsid w:val="00F5416B"/>
    <w:rsid w:val="00F66B61"/>
    <w:rsid w:val="00F66EE5"/>
    <w:rsid w:val="00F71848"/>
    <w:rsid w:val="00F72813"/>
    <w:rsid w:val="00F778F7"/>
    <w:rsid w:val="00F84005"/>
    <w:rsid w:val="00F91762"/>
    <w:rsid w:val="00FA0AAA"/>
    <w:rsid w:val="00FA2785"/>
    <w:rsid w:val="00FA36A8"/>
    <w:rsid w:val="00FA5E81"/>
    <w:rsid w:val="00FB73D2"/>
    <w:rsid w:val="00FC397A"/>
    <w:rsid w:val="00FC6909"/>
    <w:rsid w:val="00FD0C23"/>
    <w:rsid w:val="00FF2EB3"/>
    <w:rsid w:val="00FF6123"/>
    <w:rsid w:val="00FF76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AA"/>
  </w:style>
  <w:style w:type="paragraph" w:styleId="Ttulo2">
    <w:name w:val="heading 2"/>
    <w:basedOn w:val="Normal"/>
    <w:next w:val="Normal"/>
    <w:link w:val="Ttulo2Char"/>
    <w:uiPriority w:val="9"/>
    <w:semiHidden/>
    <w:unhideWhenUsed/>
    <w:qFormat/>
    <w:rsid w:val="00035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D1CC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FC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grafodetextoEstudoNotas-CLG">
    <w:name w:val="04 - Parágrafo de texto Estudo Notas - CLG"/>
    <w:link w:val="04-PargrafodetextoEstudoNotas-CLGChar"/>
    <w:rsid w:val="007E4AB7"/>
    <w:pPr>
      <w:spacing w:after="360" w:line="360" w:lineRule="auto"/>
      <w:ind w:firstLine="1418"/>
      <w:jc w:val="both"/>
    </w:pPr>
    <w:rPr>
      <w:rFonts w:ascii="Times New Roman" w:eastAsia="Times New Roman" w:hAnsi="Times New Roman" w:cs="Times New Roman"/>
      <w:sz w:val="28"/>
      <w:szCs w:val="20"/>
      <w:lang w:eastAsia="pt-BR"/>
    </w:rPr>
  </w:style>
  <w:style w:type="character" w:customStyle="1" w:styleId="04-PargrafodetextoEstudoNotas-CLGChar">
    <w:name w:val="04 - Parágrafo de texto Estudo Notas - CLG Char"/>
    <w:link w:val="04-PargrafodetextoEstudoNotas-CLG"/>
    <w:rsid w:val="007E4AB7"/>
    <w:rPr>
      <w:rFonts w:ascii="Times New Roman" w:eastAsia="Times New Roman" w:hAnsi="Times New Roman" w:cs="Times New Roman"/>
      <w:sz w:val="28"/>
      <w:szCs w:val="20"/>
      <w:lang w:eastAsia="pt-BR"/>
    </w:rPr>
  </w:style>
  <w:style w:type="paragraph" w:customStyle="1" w:styleId="06-Citaolegal-linhafinal-CLG">
    <w:name w:val="06 - Citação legal - linha final - CLG"/>
    <w:link w:val="06-Citaolegal-linhafinal-CLGChar"/>
    <w:rsid w:val="00274254"/>
    <w:pPr>
      <w:spacing w:after="480" w:line="240" w:lineRule="auto"/>
      <w:ind w:left="1985" w:firstLine="567"/>
      <w:jc w:val="both"/>
    </w:pPr>
    <w:rPr>
      <w:rFonts w:ascii="Times New Roman" w:eastAsia="Times New Roman" w:hAnsi="Times New Roman" w:cs="Times New Roman"/>
      <w:sz w:val="24"/>
      <w:szCs w:val="20"/>
      <w:lang w:eastAsia="pt-BR"/>
    </w:rPr>
  </w:style>
  <w:style w:type="character" w:styleId="Hyperlink">
    <w:name w:val="Hyperlink"/>
    <w:uiPriority w:val="99"/>
    <w:unhideWhenUsed/>
    <w:rsid w:val="00274254"/>
    <w:rPr>
      <w:color w:val="0000FF"/>
      <w:u w:val="single"/>
    </w:rPr>
  </w:style>
  <w:style w:type="character" w:customStyle="1" w:styleId="06-Citaolegal-linhafinal-CLGChar">
    <w:name w:val="06 - Citação legal - linha final - CLG Char"/>
    <w:basedOn w:val="Fontepargpadro"/>
    <w:link w:val="06-Citaolegal-linhafinal-CLG"/>
    <w:rsid w:val="00274254"/>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3F08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8EA"/>
  </w:style>
  <w:style w:type="paragraph" w:styleId="Rodap">
    <w:name w:val="footer"/>
    <w:basedOn w:val="Normal"/>
    <w:link w:val="RodapChar"/>
    <w:uiPriority w:val="99"/>
    <w:semiHidden/>
    <w:unhideWhenUsed/>
    <w:rsid w:val="003F08E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F08EA"/>
  </w:style>
  <w:style w:type="paragraph" w:styleId="Textodenotaderodap">
    <w:name w:val="footnote text"/>
    <w:basedOn w:val="Normal"/>
    <w:link w:val="TextodenotaderodapChar"/>
    <w:uiPriority w:val="99"/>
    <w:unhideWhenUsed/>
    <w:rsid w:val="0056697E"/>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56697E"/>
    <w:rPr>
      <w:rFonts w:ascii="Calibri" w:eastAsia="Calibri" w:hAnsi="Calibri" w:cs="Times New Roman"/>
      <w:sz w:val="20"/>
      <w:szCs w:val="20"/>
    </w:rPr>
  </w:style>
  <w:style w:type="character" w:styleId="Refdenotaderodap">
    <w:name w:val="footnote reference"/>
    <w:uiPriority w:val="99"/>
    <w:semiHidden/>
    <w:unhideWhenUsed/>
    <w:rsid w:val="0056697E"/>
    <w:rPr>
      <w:vertAlign w:val="superscript"/>
    </w:rPr>
  </w:style>
  <w:style w:type="character" w:customStyle="1" w:styleId="Ttulo2Char">
    <w:name w:val="Título 2 Char"/>
    <w:basedOn w:val="Fontepargpadro"/>
    <w:link w:val="Ttulo2"/>
    <w:uiPriority w:val="9"/>
    <w:semiHidden/>
    <w:rsid w:val="000359B3"/>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BA1B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BC4"/>
    <w:rPr>
      <w:rFonts w:ascii="Tahoma" w:hAnsi="Tahoma" w:cs="Tahoma"/>
      <w:sz w:val="16"/>
      <w:szCs w:val="16"/>
    </w:rPr>
  </w:style>
  <w:style w:type="paragraph" w:styleId="PargrafodaLista">
    <w:name w:val="List Paragraph"/>
    <w:basedOn w:val="Normal"/>
    <w:uiPriority w:val="34"/>
    <w:qFormat/>
    <w:rsid w:val="00C22BE0"/>
    <w:pPr>
      <w:ind w:left="720"/>
      <w:contextualSpacing/>
    </w:pPr>
  </w:style>
  <w:style w:type="paragraph" w:styleId="Corpodetexto">
    <w:name w:val="Body Text"/>
    <w:basedOn w:val="Normal"/>
    <w:link w:val="CorpodetextoChar"/>
    <w:semiHidden/>
    <w:rsid w:val="00816DC3"/>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CorpodetextoChar">
    <w:name w:val="Corpo de texto Char"/>
    <w:basedOn w:val="Fontepargpadro"/>
    <w:link w:val="Corpodetexto"/>
    <w:semiHidden/>
    <w:rsid w:val="00816DC3"/>
    <w:rPr>
      <w:rFonts w:ascii="Times New Roman" w:eastAsia="Lucida Sans Unicode" w:hAnsi="Times New Roman" w:cs="Mangal"/>
      <w:kern w:val="1"/>
      <w:sz w:val="24"/>
      <w:szCs w:val="24"/>
      <w:lang w:eastAsia="hi-IN" w:bidi="hi-IN"/>
    </w:rPr>
  </w:style>
  <w:style w:type="paragraph" w:customStyle="1" w:styleId="07-Citaolegal-CLG">
    <w:name w:val="07 - Citação legal - CLG"/>
    <w:link w:val="07-Citaolegal-CLGCharChar"/>
    <w:rsid w:val="00726CFD"/>
    <w:pPr>
      <w:spacing w:after="120" w:line="240" w:lineRule="auto"/>
      <w:ind w:left="1985" w:firstLine="567"/>
      <w:jc w:val="both"/>
    </w:pPr>
    <w:rPr>
      <w:rFonts w:ascii="Times New Roman" w:eastAsia="Times New Roman" w:hAnsi="Times New Roman" w:cs="Times New Roman"/>
      <w:bCs/>
      <w:sz w:val="24"/>
      <w:szCs w:val="20"/>
      <w:lang w:eastAsia="pt-BR"/>
    </w:rPr>
  </w:style>
  <w:style w:type="character" w:customStyle="1" w:styleId="07-Citaolegal-CLGCharChar">
    <w:name w:val="07 - Citação legal - CLG Char Char"/>
    <w:basedOn w:val="Fontepargpadro"/>
    <w:link w:val="07-Citaolegal-CLG"/>
    <w:rsid w:val="00726CFD"/>
    <w:rPr>
      <w:rFonts w:ascii="Times New Roman" w:eastAsia="Times New Roman" w:hAnsi="Times New Roman" w:cs="Times New Roman"/>
      <w:bCs/>
      <w:sz w:val="24"/>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437D6-42D8-4241-9F67-F78DAB6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17</Pages>
  <Words>4558</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leomf</dc:creator>
  <cp:lastModifiedBy>leomf</cp:lastModifiedBy>
  <cp:revision>152</cp:revision>
  <cp:lastPrinted>2015-05-04T16:43:00Z</cp:lastPrinted>
  <dcterms:created xsi:type="dcterms:W3CDTF">2015-04-24T15:44:00Z</dcterms:created>
  <dcterms:modified xsi:type="dcterms:W3CDTF">2015-05-05T15:59:00Z</dcterms:modified>
</cp:coreProperties>
</file>