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5F" w:rsidRDefault="00FA5A5F" w:rsidP="00FA5A5F">
      <w:pPr>
        <w:pStyle w:val="02-TtuloPrincipal-CLG"/>
      </w:pPr>
      <w:bookmarkStart w:id="0" w:name="_GoBack"/>
      <w:bookmarkEnd w:id="0"/>
      <w:r>
        <w:t xml:space="preserve">PARECER Nº        </w:t>
      </w:r>
      <w:proofErr w:type="gramStart"/>
      <w:r>
        <w:t xml:space="preserve">  ,</w:t>
      </w:r>
      <w:proofErr w:type="gramEnd"/>
      <w:r>
        <w:t xml:space="preserve"> DE 2016</w:t>
      </w:r>
    </w:p>
    <w:p w:rsidR="00FA5A5F" w:rsidRDefault="00FA5A5F" w:rsidP="00FA5A5F">
      <w:pPr>
        <w:pStyle w:val="03-Ementa-CLG"/>
      </w:pPr>
      <w:r>
        <w:t xml:space="preserve">Da COMISSÃO DE ASSUNTOS SOCIAIS, em decisão terminativa, sobre o Projeto de Lei da Câmara nº 74, de 2011 (PL nº 6.049, de 2005, na origem), do Deputado Alex </w:t>
      </w:r>
      <w:proofErr w:type="spellStart"/>
      <w:r>
        <w:t>Canziani</w:t>
      </w:r>
      <w:proofErr w:type="spellEnd"/>
      <w:r>
        <w:t xml:space="preserve">, que </w:t>
      </w:r>
      <w:r>
        <w:rPr>
          <w:i/>
        </w:rPr>
        <w:t>dispõe sobre a regulamentação do exercício da profissão de cozinheiro</w:t>
      </w:r>
      <w:r>
        <w:rPr>
          <w:i/>
          <w:iCs/>
        </w:rPr>
        <w:t>.</w:t>
      </w:r>
      <w:r>
        <w:t xml:space="preserve"> </w:t>
      </w:r>
    </w:p>
    <w:p w:rsidR="00FA5A5F" w:rsidRDefault="00FA5A5F" w:rsidP="00FA5A5F">
      <w:pPr>
        <w:pStyle w:val="04-Relatoria-CLG"/>
        <w:rPr>
          <w:b/>
          <w:bCs/>
        </w:rPr>
      </w:pPr>
      <w:r>
        <w:t xml:space="preserve">RELATOR: Senador </w:t>
      </w:r>
      <w:r>
        <w:rPr>
          <w:b/>
        </w:rPr>
        <w:t>ACIR GURGACZ</w:t>
      </w:r>
    </w:p>
    <w:p w:rsidR="00FA5A5F" w:rsidRDefault="00FA5A5F" w:rsidP="00FA5A5F">
      <w:pPr>
        <w:pStyle w:val="05-Subttulo-CLG"/>
      </w:pPr>
      <w:r>
        <w:t>I – RELATÓRIO</w:t>
      </w:r>
    </w:p>
    <w:p w:rsidR="00FA5A5F" w:rsidRDefault="00FA5A5F" w:rsidP="00FA5A5F">
      <w:pPr>
        <w:pStyle w:val="06-Pargrafodetexto-CLG"/>
      </w:pPr>
      <w:r>
        <w:t>Vem a exame desta Comissão, em caráter terminativo, o Projeto de Lei da Câmara nº 74, de 2011, com o objetivo de regulamentar o exercício da profissão de cozinheiro.</w:t>
      </w:r>
    </w:p>
    <w:p w:rsidR="00FA5A5F" w:rsidRDefault="00FA5A5F" w:rsidP="00FA5A5F">
      <w:pPr>
        <w:pStyle w:val="06-Pargrafodetexto-CLG"/>
      </w:pPr>
      <w:r>
        <w:lastRenderedPageBreak/>
        <w:t xml:space="preserve">O projeto define a profissão de cozinheiro, estabelece as condições para o seu exercício e elenca as atividades desse profissional. Ao final, condiciona a vigência dessa regulamentação à criação de órgão de fiscalização da profissão. </w:t>
      </w:r>
    </w:p>
    <w:p w:rsidR="00FA5A5F" w:rsidRDefault="00FA5A5F" w:rsidP="00FA5A5F">
      <w:pPr>
        <w:pStyle w:val="06-Pargrafodetexto-CLG"/>
      </w:pPr>
      <w:r>
        <w:t>A iniciativa, segundo o autor, tem o intuito de assegurar um maior controle sobre a formação e a conduta dos cozinheiros, contribuir para o seu aperfeiçoamento profissional, bem como valorizar a profissão e aqueles que a exercem, estimulando o ingresso de novos talentos para a cozinha.</w:t>
      </w:r>
    </w:p>
    <w:p w:rsidR="00FA5A5F" w:rsidRDefault="00FA5A5F" w:rsidP="00FA5A5F">
      <w:pPr>
        <w:pStyle w:val="06-Pargrafodetexto-CLG"/>
      </w:pPr>
      <w:r>
        <w:t xml:space="preserve"> À proposição não foram oferecidas emendas.</w:t>
      </w:r>
    </w:p>
    <w:p w:rsidR="00FA5A5F" w:rsidRDefault="00FA5A5F" w:rsidP="00FA5A5F">
      <w:pPr>
        <w:pStyle w:val="05-Subttulo-CLG"/>
      </w:pPr>
      <w:r>
        <w:t>II – ANÁLISE</w:t>
      </w:r>
    </w:p>
    <w:p w:rsidR="00FA5A5F" w:rsidRDefault="00FA5A5F" w:rsidP="00FA5A5F">
      <w:pPr>
        <w:pStyle w:val="06-Pargrafodetexto-CLG"/>
      </w:pPr>
      <w:r>
        <w:t>Nos termos do art. 90, inciso I, combinado com o disposto no art. 100, inciso I, do Regimento Interno do Senado Federal, compete à Comissão de Assuntos Sociais, em caráter terminativo, discutir e votar projetos de lei que versem sobre o exercício de profissões.</w:t>
      </w:r>
    </w:p>
    <w:p w:rsidR="00FA5A5F" w:rsidRDefault="00FA5A5F" w:rsidP="00FA5A5F">
      <w:pPr>
        <w:pStyle w:val="06-Pargrafodetexto-CLG"/>
        <w:rPr>
          <w:szCs w:val="28"/>
        </w:rPr>
      </w:pPr>
      <w:r>
        <w:rPr>
          <w:szCs w:val="28"/>
        </w:rPr>
        <w:t xml:space="preserve">Sob o aspecto formal, não vislumbramos óbice algum de natureza jurídica ou constitucional nos dispositivos que versam sobre o exercício da profissão do cozinheiro. </w:t>
      </w:r>
    </w:p>
    <w:p w:rsidR="00FA5A5F" w:rsidRDefault="00FA5A5F" w:rsidP="00FA5A5F">
      <w:pPr>
        <w:pStyle w:val="06-Pargrafodetexto-CLG"/>
      </w:pPr>
      <w:r>
        <w:rPr>
          <w:szCs w:val="28"/>
        </w:rPr>
        <w:lastRenderedPageBreak/>
        <w:t xml:space="preserve">A disciplina da matéria é de competência legislativa da União (art. 22, XVI, da Constituição Federal – CF) e inclui-se entre as atribuições do Congresso Nacional (art. 48, </w:t>
      </w:r>
      <w:r>
        <w:rPr>
          <w:i/>
          <w:szCs w:val="28"/>
        </w:rPr>
        <w:t>caput</w:t>
      </w:r>
      <w:r>
        <w:rPr>
          <w:szCs w:val="28"/>
        </w:rPr>
        <w:t xml:space="preserve">, da CF). </w:t>
      </w:r>
      <w:r>
        <w:t>Também os requisitos de adequação às regras regimentais foram respeitados.</w:t>
      </w:r>
    </w:p>
    <w:p w:rsidR="00FA5A5F" w:rsidRDefault="00FA5A5F" w:rsidP="00FA5A5F">
      <w:pPr>
        <w:pStyle w:val="06-Pargrafodetexto-CLG"/>
      </w:pPr>
      <w:r>
        <w:t>A regulamentação legal de uma determinada profissão integra a tradição de nosso ordenamento jurídico, como o confirmam as diversas leis e disposições da Consolidação das Leis do Trabalho. Isso vem acontecendo desde o início na década de trinta do século passado, com a finalidade de disciplinar certas profissões, a fim de garantir ao cidadão a prestação qualificada de bens e serviços.</w:t>
      </w:r>
    </w:p>
    <w:p w:rsidR="00FA5A5F" w:rsidRDefault="00FA5A5F" w:rsidP="00FA5A5F">
      <w:pPr>
        <w:pStyle w:val="06-Pargrafodetexto-CLG"/>
      </w:pPr>
      <w:r>
        <w:t>Nesse contexto, insere-se a regulamentação do exercício da profissão de cozinheiro. Num mundo globalizado, onde a qualidade e a excelência de bens e serviços vêm se sofisticando cada vez mais, este profissional deve ter habilitação especializada, pois a saúde e a satisfação dos consumidores que se alimentam em estabelecimentos comerciais não mais comportam amadores ou aventureiros de primeira viagem.</w:t>
      </w:r>
    </w:p>
    <w:p w:rsidR="00FA5A5F" w:rsidRDefault="00FA5A5F" w:rsidP="00FA5A5F">
      <w:pPr>
        <w:pStyle w:val="06-Pargrafodetexto-CLG"/>
      </w:pPr>
      <w:r>
        <w:t xml:space="preserve">O cozinheiro, como profissional, por meio de seus conhecimentos técnicos, cursos de reciclagem, informações técnicas, pesquisas e viagens, vem se destacando no mercado, cada </w:t>
      </w:r>
      <w:r>
        <w:lastRenderedPageBreak/>
        <w:t>vez mais amplo, contribuindo para o sucesso de um grande número de empreendimentos, principalmente nos setores de turismo e restaurantes.</w:t>
      </w:r>
    </w:p>
    <w:p w:rsidR="00FA5A5F" w:rsidRDefault="00FA5A5F" w:rsidP="00FA5A5F">
      <w:pPr>
        <w:pStyle w:val="06-Pargrafodetexto-CLG"/>
      </w:pPr>
      <w:r>
        <w:t>Além dos possuidores de formação específica, o projeto não desconhece a existência daqueles que já possuem experiência no setor, ou seja, aqueles que, na data de promulgação da lei, estejam exercendo efetivamente a profissão há, pelo menos, três anos.</w:t>
      </w:r>
    </w:p>
    <w:p w:rsidR="00FA5A5F" w:rsidRDefault="00FA5A5F" w:rsidP="00FA5A5F">
      <w:pPr>
        <w:pStyle w:val="06-Pargrafodetexto-CLG"/>
      </w:pPr>
      <w:r>
        <w:t>Com isso, abrange-se toda a gama de cozinheiros, sem discriminar, à época da sanção da lei, qualquer um que milite, efetivamente, na profissão.</w:t>
      </w:r>
    </w:p>
    <w:p w:rsidR="00FA5A5F" w:rsidRDefault="00FA5A5F" w:rsidP="00FA5A5F">
      <w:pPr>
        <w:pStyle w:val="06-Pargrafodetexto-CLG"/>
      </w:pPr>
      <w:r>
        <w:t xml:space="preserve">Com a regulamentação da profissão, cria-se uma identidade, exigindo-se do cozinheiro uma conduta profissional e responsabilizando-o tecnicamente pela execução de seu trabalho. Ademais, </w:t>
      </w:r>
      <w:proofErr w:type="spellStart"/>
      <w:r>
        <w:t>dá-se-lhe</w:t>
      </w:r>
      <w:proofErr w:type="spellEnd"/>
      <w:r>
        <w:t xml:space="preserve"> condições para exercer a profissão na sua amplitude de direitos, não permitindo a atividade de terceiros não qualificados e sem formação para o seu exercício.</w:t>
      </w:r>
    </w:p>
    <w:p w:rsidR="00FA5A5F" w:rsidRDefault="00FA5A5F" w:rsidP="00FA5A5F">
      <w:pPr>
        <w:pStyle w:val="06-Pargrafodetexto-CLG"/>
      </w:pPr>
      <w:r>
        <w:t>Permite, ainda, ao profissional candidatar-se a cargos específicos em empresas públicas que exigem documentação profissional, e prestar serviços em estabelecimentos comerciais.</w:t>
      </w:r>
    </w:p>
    <w:p w:rsidR="00FA5A5F" w:rsidRDefault="00FA5A5F" w:rsidP="00FA5A5F">
      <w:pPr>
        <w:pStyle w:val="06-Pargrafodetexto-CLG"/>
      </w:pPr>
      <w:r>
        <w:lastRenderedPageBreak/>
        <w:t>Não poderíamos deixar de mencionar que o trabalho profissional do cozinheiro está também intimamente ligado à saúde e à segurança da população. O exercício por pessoas não qualificadas, sem conhecimento técnico especializado e de outros aspectos relativos à segurança alimentar, pode acarretar danos irreparáveis à saúde do consumidor.</w:t>
      </w:r>
    </w:p>
    <w:p w:rsidR="00FA5A5F" w:rsidRDefault="00FA5A5F" w:rsidP="00FA5A5F">
      <w:pPr>
        <w:pStyle w:val="06-Pargrafodetexto-CLG"/>
        <w:rPr>
          <w:szCs w:val="28"/>
        </w:rPr>
      </w:pPr>
      <w:r>
        <w:rPr>
          <w:szCs w:val="28"/>
        </w:rPr>
        <w:t>Não há dúvida que o sucesso da cozinha brasileira depende dos chefs e cozinheiros deste País.</w:t>
      </w:r>
    </w:p>
    <w:p w:rsidR="00FA5A5F" w:rsidRDefault="00FA5A5F" w:rsidP="00FA5A5F">
      <w:pPr>
        <w:pStyle w:val="06-Pargrafodetexto-CLG"/>
        <w:rPr>
          <w:szCs w:val="28"/>
        </w:rPr>
      </w:pPr>
      <w:r>
        <w:rPr>
          <w:szCs w:val="28"/>
        </w:rPr>
        <w:t xml:space="preserve">Nossa gastronomia, já reconhecida internacionalmente, vive hoje um momento de grande crescimento em nosso País, com inúmeras escolas oferecendo cursos técnicos, formando tecnólogos e bacharéis e cursos de pós-graduação nessa área. </w:t>
      </w:r>
    </w:p>
    <w:p w:rsidR="00FA5A5F" w:rsidRDefault="00FA5A5F" w:rsidP="00FA5A5F">
      <w:pPr>
        <w:pStyle w:val="06-Pargrafodetexto-CLG"/>
        <w:rPr>
          <w:i/>
          <w:szCs w:val="28"/>
        </w:rPr>
      </w:pPr>
      <w:r>
        <w:rPr>
          <w:szCs w:val="28"/>
        </w:rPr>
        <w:t xml:space="preserve">Cabe-nos registrar que o </w:t>
      </w:r>
      <w:r>
        <w:t>Comitê Permanente da Gastronomia Brasileira</w:t>
      </w:r>
      <w:r>
        <w:rPr>
          <w:szCs w:val="28"/>
        </w:rPr>
        <w:t xml:space="preserve"> tem prestado apoio ao presente projeto, enfatizando que </w:t>
      </w:r>
      <w:r>
        <w:rPr>
          <w:i/>
          <w:szCs w:val="28"/>
        </w:rPr>
        <w:t>o Brasil é um dos países mais comentados como uma das grandes apostas para o desenvolvimento do mundo, e todos os setores produtivos brasileiros compõem essa grande força, inclusive a gastronomia. A gastronomia brasileira ao longo dos anos vem crescendo e movimentando vertiginosamente a economia do país. As nossas empresas e nossos profissionais a cada ano se tornam referências mundiais.</w:t>
      </w:r>
    </w:p>
    <w:p w:rsidR="00FA5A5F" w:rsidRDefault="00FA5A5F" w:rsidP="00FA5A5F">
      <w:pPr>
        <w:pStyle w:val="06-Pargrafodetexto-CLG"/>
      </w:pPr>
      <w:r>
        <w:lastRenderedPageBreak/>
        <w:t>Sem dúvida alguma, esse é o momento ideal para exigir qualificação profissional dos que exercem a atividade de cozinheiro. Com a regulamentação do exercício desta profissão haverá uma profissionalização do setor, que atenderá à demanda cada vez maior por mão-de-obra especializada.</w:t>
      </w:r>
    </w:p>
    <w:p w:rsidR="00FA5A5F" w:rsidRDefault="00FA5A5F" w:rsidP="00FA5A5F">
      <w:pPr>
        <w:pStyle w:val="06-Pargrafodetexto-CLG"/>
      </w:pPr>
      <w:r>
        <w:t xml:space="preserve">Finalmente, cabe-nos observar que, na Câmara dos Deputados, a proposição, que foi aprovada pelas Comissões de Trabalho, de Administração e Serviço Público e Constituição e Justiça e de Cidadania, condiciona, em seu art. 4º, a vigência da regulamentação que se está a implementar à criação de órgão de fiscalização da profissão, em atendimento ao que prevê o Verbete nº 02, da Súmula de Jurisprudência da Comissão de Trabalho, de Administração e Serviço Público, da Câmara dos Deputados, que assim dispõe em relação aos projetos de regulamentação de profissões de iniciativa de membro do Congresso Nacional, </w:t>
      </w:r>
      <w:proofErr w:type="spellStart"/>
      <w:r>
        <w:rPr>
          <w:i/>
        </w:rPr>
        <w:t>verbis</w:t>
      </w:r>
      <w:proofErr w:type="spellEnd"/>
      <w:r>
        <w:t>:</w:t>
      </w:r>
    </w:p>
    <w:p w:rsidR="00FA5A5F" w:rsidRDefault="00FA5A5F" w:rsidP="00FA5A5F">
      <w:pPr>
        <w:pStyle w:val="06-Pargrafodetexto-CLG"/>
        <w:ind w:left="1416"/>
        <w:rPr>
          <w:sz w:val="24"/>
          <w:szCs w:val="24"/>
        </w:rPr>
      </w:pPr>
      <w:r>
        <w:rPr>
          <w:sz w:val="24"/>
          <w:szCs w:val="24"/>
        </w:rPr>
        <w:t>“Outrossim, caso o projeto de regulamentação seja de iniciativa de membro do Congresso Nacional, a vigência da lei deve ser subordinada à existência de órgão fiscalizador a ser criado por lei de iniciativa do Poder Executivo. ”</w:t>
      </w:r>
    </w:p>
    <w:p w:rsidR="00FA5A5F" w:rsidRDefault="00FA5A5F" w:rsidP="00FA5A5F">
      <w:pPr>
        <w:pStyle w:val="06-Pargrafodetexto-CLG"/>
      </w:pPr>
      <w:r>
        <w:t xml:space="preserve">Ainda que a decisão da Comissão de Constituição e Justiça e de Cidadania da Câmara dos Deputados cause uma certa frustração aos profissionais que aguardam ansiosamente a aprovação deste projeto,  a medida adotada é perfeitamente cabível, </w:t>
      </w:r>
      <w:r>
        <w:lastRenderedPageBreak/>
        <w:t>pois, quando da regulamentação legal do exercício de qualquer profissão, há a necessidade de imposição de sanções àqueles que não a exerçam adequadamente (que o projeto em tela não faz), já que é de se presumir que o legislador está partindo do princípio de que a regulamentação da profissão é necessária, em face da potencialidade lesiva à sociedade, se exercida indevidamente pelo profissional habilitado.</w:t>
      </w:r>
    </w:p>
    <w:p w:rsidR="00FA5A5F" w:rsidRDefault="00FA5A5F" w:rsidP="00FA5A5F">
      <w:pPr>
        <w:pStyle w:val="06-Pargrafodetexto-CLG"/>
      </w:pPr>
      <w:r>
        <w:t xml:space="preserve">Ademais, para haver certeza de que a imposição de sanções será efetiva, essa regulamentação deve trazer a garantia de fiscalização sobre o exercício profissional, que, em nosso ordenamento jurídico, é executada por órgãos específicos, ou seja, pelos conselhos profissionais, cuja instituição também deveria constar da lei regulatória, mas que, por força do art. 61, § 1º, inciso II, alínea </w:t>
      </w:r>
      <w:r>
        <w:rPr>
          <w:i/>
        </w:rPr>
        <w:t>e</w:t>
      </w:r>
      <w:r>
        <w:t>, da Constituição Federal, ela está reservada à iniciativa do Presidente da República.</w:t>
      </w:r>
    </w:p>
    <w:p w:rsidR="00FA5A5F" w:rsidRDefault="00FA5A5F" w:rsidP="00FA5A5F">
      <w:pPr>
        <w:pStyle w:val="06-Pargrafodetexto-CLG"/>
      </w:pPr>
      <w:r>
        <w:t xml:space="preserve">Sem a condição imposta pelo art. 4º da proposta haveria inadequação do Projeto de Lei da Câmara nº 74, de 2011, pois, sem os respectivos conselhos, não haveria a fiscalização do exercício da profissão por parte do Poder Público, ante a absoluta ausência de sanções e de órgão fiscalizador. </w:t>
      </w:r>
    </w:p>
    <w:p w:rsidR="00FA5A5F" w:rsidRDefault="00FA5A5F" w:rsidP="00FA5A5F">
      <w:pPr>
        <w:pStyle w:val="Recuodecorpodetexto"/>
        <w:ind w:left="0"/>
        <w:rPr>
          <w:b/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rPr>
          <w:b/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rPr>
          <w:b/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rPr>
          <w:sz w:val="28"/>
          <w:szCs w:val="28"/>
        </w:rPr>
      </w:pPr>
      <w:r>
        <w:rPr>
          <w:b/>
          <w:sz w:val="28"/>
          <w:szCs w:val="28"/>
        </w:rPr>
        <w:t>III – VOTO</w:t>
      </w:r>
    </w:p>
    <w:p w:rsidR="00FA5A5F" w:rsidRDefault="00FA5A5F" w:rsidP="00FA5A5F">
      <w:pPr>
        <w:pStyle w:val="Recuodecorpodetexto"/>
        <w:ind w:left="0"/>
        <w:rPr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Pelo exposto, opinamos pela aprovação do Projeto de Lei da Câmara nº 74, de 2011.</w:t>
      </w:r>
    </w:p>
    <w:p w:rsidR="00FA5A5F" w:rsidRDefault="00FA5A5F" w:rsidP="00FA5A5F">
      <w:pPr>
        <w:pStyle w:val="Recuodecorpodetexto"/>
        <w:ind w:left="0"/>
        <w:rPr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rPr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Sala da Comissão,</w:t>
      </w:r>
      <w:r w:rsidR="00645369">
        <w:rPr>
          <w:sz w:val="28"/>
          <w:szCs w:val="28"/>
        </w:rPr>
        <w:t xml:space="preserve"> 11 de agosto de 2016.</w:t>
      </w:r>
    </w:p>
    <w:p w:rsidR="00FA5A5F" w:rsidRDefault="00FA5A5F" w:rsidP="00FA5A5F">
      <w:pPr>
        <w:pStyle w:val="Recuodecorpodetexto"/>
        <w:ind w:left="0"/>
        <w:rPr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rPr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jc w:val="right"/>
        <w:rPr>
          <w:sz w:val="28"/>
          <w:szCs w:val="28"/>
        </w:rPr>
      </w:pPr>
    </w:p>
    <w:p w:rsidR="00FA5A5F" w:rsidRDefault="00FA5A5F" w:rsidP="00873A73">
      <w:pPr>
        <w:pStyle w:val="Recuodecorpodetexto"/>
        <w:ind w:left="0" w:firstLine="4820"/>
        <w:jc w:val="center"/>
        <w:rPr>
          <w:sz w:val="28"/>
          <w:szCs w:val="28"/>
        </w:rPr>
      </w:pPr>
      <w:r>
        <w:rPr>
          <w:sz w:val="28"/>
          <w:szCs w:val="28"/>
        </w:rPr>
        <w:t>, Presidente</w:t>
      </w:r>
    </w:p>
    <w:p w:rsidR="00873A73" w:rsidRDefault="00873A73" w:rsidP="00FA5A5F">
      <w:pPr>
        <w:pStyle w:val="Recuodecorpodetexto"/>
        <w:ind w:left="0"/>
        <w:jc w:val="center"/>
        <w:rPr>
          <w:sz w:val="28"/>
          <w:szCs w:val="28"/>
        </w:rPr>
      </w:pPr>
    </w:p>
    <w:p w:rsidR="00873A73" w:rsidRDefault="00873A73" w:rsidP="00FA5A5F">
      <w:pPr>
        <w:pStyle w:val="Recuodecorpodetexto"/>
        <w:ind w:left="0"/>
        <w:jc w:val="center"/>
        <w:rPr>
          <w:sz w:val="28"/>
          <w:szCs w:val="28"/>
        </w:rPr>
      </w:pPr>
    </w:p>
    <w:p w:rsidR="00873A73" w:rsidRDefault="00873A73" w:rsidP="00FA5A5F">
      <w:pPr>
        <w:pStyle w:val="Recuodecorpodetexto"/>
        <w:ind w:left="0"/>
        <w:jc w:val="center"/>
        <w:rPr>
          <w:sz w:val="28"/>
          <w:szCs w:val="28"/>
        </w:rPr>
      </w:pPr>
    </w:p>
    <w:p w:rsidR="00FA5A5F" w:rsidRDefault="00FA5A5F" w:rsidP="00FA5A5F">
      <w:pPr>
        <w:pStyle w:val="Recuodecorpodetexto"/>
        <w:ind w:left="0"/>
        <w:jc w:val="right"/>
        <w:rPr>
          <w:sz w:val="28"/>
          <w:szCs w:val="28"/>
        </w:rPr>
      </w:pPr>
    </w:p>
    <w:p w:rsidR="00873A73" w:rsidRPr="00873A73" w:rsidRDefault="00873A73" w:rsidP="00873A73">
      <w:pPr>
        <w:pStyle w:val="Recuodecorpodetexto"/>
        <w:ind w:left="0" w:firstLine="467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Senador </w:t>
      </w:r>
      <w:r w:rsidRPr="00873A73">
        <w:rPr>
          <w:b/>
          <w:sz w:val="28"/>
          <w:szCs w:val="28"/>
        </w:rPr>
        <w:t>ACIR GURGACZ</w:t>
      </w:r>
    </w:p>
    <w:p w:rsidR="00FA5A5F" w:rsidRDefault="00FA5A5F" w:rsidP="00873A73">
      <w:pPr>
        <w:pStyle w:val="Recuodecorpodetexto"/>
        <w:ind w:left="0"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Relator</w:t>
      </w:r>
    </w:p>
    <w:p w:rsidR="008E042A" w:rsidRPr="002E3271" w:rsidRDefault="008E042A" w:rsidP="00873A73">
      <w:pPr>
        <w:ind w:firstLine="4678"/>
      </w:pPr>
    </w:p>
    <w:sectPr w:rsidR="008E042A" w:rsidRPr="002E3271" w:rsidSect="00D80ABB">
      <w:headerReference w:type="default" r:id="rId7"/>
      <w:footerReference w:type="default" r:id="rId8"/>
      <w:pgSz w:w="11906" w:h="16838" w:code="9"/>
      <w:pgMar w:top="1985" w:right="1418" w:bottom="1418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2" w:rsidRDefault="00271CA2" w:rsidP="00706665">
      <w:r>
        <w:separator/>
      </w:r>
    </w:p>
  </w:endnote>
  <w:endnote w:type="continuationSeparator" w:id="0">
    <w:p w:rsidR="00271CA2" w:rsidRDefault="00271CA2" w:rsidP="007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66" w:rsidRDefault="00533E66" w:rsidP="00A34D86">
    <w:pPr>
      <w:pStyle w:val="Rodap"/>
      <w:jc w:val="both"/>
      <w:rPr>
        <w:rFonts w:ascii="ITC Stone Sans Std Medium" w:hAnsi="ITC Stone Sans Std Medium"/>
        <w:sz w:val="14"/>
        <w:szCs w:val="14"/>
      </w:rPr>
    </w:pPr>
  </w:p>
  <w:p w:rsidR="00533E66" w:rsidRDefault="00BE1861" w:rsidP="00196BF2">
    <w:pPr>
      <w:pStyle w:val="Rodap"/>
      <w:jc w:val="center"/>
      <w:rPr>
        <w:rFonts w:ascii="ITC Stone Sans Std Medium" w:hAnsi="ITC Stone Sans Std Medium"/>
        <w:sz w:val="14"/>
        <w:szCs w:val="14"/>
      </w:rPr>
    </w:pPr>
    <w:r>
      <w:rPr>
        <w:rFonts w:ascii="ITC Stone Sans Std Medium" w:hAnsi="ITC Stone Sans Std Medium"/>
        <w:noProof/>
        <w:sz w:val="14"/>
        <w:szCs w:val="14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19685</wp:posOffset>
          </wp:positionV>
          <wp:extent cx="7675245" cy="181610"/>
          <wp:effectExtent l="0" t="0" r="1905" b="889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E66" w:rsidRPr="00196BF2" w:rsidRDefault="00533E66" w:rsidP="00196BF2">
    <w:pPr>
      <w:pStyle w:val="Rodap"/>
      <w:jc w:val="center"/>
      <w:rPr>
        <w:rFonts w:ascii="Times New Roman" w:hAnsi="Times New Roman"/>
        <w:sz w:val="14"/>
        <w:szCs w:val="14"/>
      </w:rPr>
    </w:pPr>
  </w:p>
  <w:p w:rsidR="00533E66" w:rsidRPr="008870B9" w:rsidRDefault="00533E66" w:rsidP="00196BF2">
    <w:pPr>
      <w:pStyle w:val="Rodap"/>
      <w:jc w:val="center"/>
      <w:rPr>
        <w:rFonts w:ascii="Arial" w:hAnsi="Arial" w:cs="Arial"/>
        <w:sz w:val="16"/>
        <w:szCs w:val="16"/>
      </w:rPr>
    </w:pPr>
    <w:r w:rsidRPr="008870B9">
      <w:rPr>
        <w:rFonts w:ascii="Arial" w:hAnsi="Arial" w:cs="Arial"/>
        <w:sz w:val="16"/>
        <w:szCs w:val="16"/>
      </w:rPr>
      <w:t xml:space="preserve">Senado Federal – Praça dos Três Poderes – Ala Senador </w:t>
    </w:r>
    <w:r>
      <w:rPr>
        <w:rFonts w:ascii="Arial" w:hAnsi="Arial" w:cs="Arial"/>
        <w:sz w:val="16"/>
        <w:szCs w:val="16"/>
      </w:rPr>
      <w:t>Tancredo Neves – Gabinete 56</w:t>
    </w:r>
    <w:r w:rsidRPr="008870B9">
      <w:rPr>
        <w:rFonts w:ascii="Arial" w:hAnsi="Arial" w:cs="Arial"/>
        <w:sz w:val="16"/>
        <w:szCs w:val="16"/>
      </w:rPr>
      <w:t xml:space="preserve"> - CEP 70165-900 – Brasília DF </w:t>
    </w:r>
  </w:p>
  <w:p w:rsidR="00533E66" w:rsidRPr="008870B9" w:rsidRDefault="00533E66" w:rsidP="00196BF2">
    <w:pPr>
      <w:pStyle w:val="Rodap"/>
      <w:jc w:val="center"/>
      <w:rPr>
        <w:rFonts w:ascii="Arial" w:hAnsi="Arial" w:cs="Arial"/>
        <w:sz w:val="16"/>
        <w:szCs w:val="16"/>
      </w:rPr>
    </w:pPr>
    <w:r w:rsidRPr="008870B9">
      <w:rPr>
        <w:rFonts w:ascii="Arial" w:hAnsi="Arial" w:cs="Arial"/>
        <w:sz w:val="16"/>
        <w:szCs w:val="16"/>
      </w:rPr>
      <w:t xml:space="preserve">Telefone: +55 (61) 3303-3131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2" w:rsidRDefault="00271CA2" w:rsidP="00706665">
      <w:r>
        <w:separator/>
      </w:r>
    </w:p>
  </w:footnote>
  <w:footnote w:type="continuationSeparator" w:id="0">
    <w:p w:rsidR="00271CA2" w:rsidRDefault="00271CA2" w:rsidP="0070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66" w:rsidRDefault="00BE1861" w:rsidP="00457D2B">
    <w:pPr>
      <w:pStyle w:val="Cabealho"/>
      <w:spacing w:after="120"/>
      <w:jc w:val="center"/>
    </w:pPr>
    <w:r w:rsidRPr="00B73978">
      <w:rPr>
        <w:noProof/>
        <w:lang w:eastAsia="pt-BR"/>
      </w:rPr>
      <w:drawing>
        <wp:inline distT="0" distB="0" distL="0" distR="0">
          <wp:extent cx="1219200" cy="933450"/>
          <wp:effectExtent l="0" t="0" r="0" b="0"/>
          <wp:docPr id="1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E66" w:rsidRPr="008870B9" w:rsidRDefault="00533E66" w:rsidP="00457D2B">
    <w:pPr>
      <w:pStyle w:val="Cabealho"/>
      <w:jc w:val="center"/>
      <w:rPr>
        <w:rFonts w:ascii="Arial" w:hAnsi="Arial" w:cs="Arial"/>
      </w:rPr>
    </w:pPr>
    <w:r w:rsidRPr="008870B9">
      <w:rPr>
        <w:rFonts w:ascii="Arial" w:hAnsi="Arial" w:cs="Arial"/>
      </w:rPr>
      <w:t>Gabinete Senador ACIR GURGACZ</w:t>
    </w:r>
  </w:p>
  <w:p w:rsidR="00533E66" w:rsidRDefault="00533E66" w:rsidP="00DD444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BE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C447DE"/>
    <w:multiLevelType w:val="hybridMultilevel"/>
    <w:tmpl w:val="D9EE329A"/>
    <w:lvl w:ilvl="0" w:tplc="0A7EDD56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7EC23F7A"/>
    <w:multiLevelType w:val="hybridMultilevel"/>
    <w:tmpl w:val="CEE6C628"/>
    <w:lvl w:ilvl="0" w:tplc="A210DDF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65"/>
    <w:rsid w:val="000130A1"/>
    <w:rsid w:val="00017617"/>
    <w:rsid w:val="000177E9"/>
    <w:rsid w:val="0004372F"/>
    <w:rsid w:val="000475E8"/>
    <w:rsid w:val="000518A5"/>
    <w:rsid w:val="000914A1"/>
    <w:rsid w:val="000949BA"/>
    <w:rsid w:val="000A546F"/>
    <w:rsid w:val="000B4FE7"/>
    <w:rsid w:val="000B55B1"/>
    <w:rsid w:val="00104AC8"/>
    <w:rsid w:val="00110D1B"/>
    <w:rsid w:val="00123598"/>
    <w:rsid w:val="001608F6"/>
    <w:rsid w:val="0016681F"/>
    <w:rsid w:val="00174725"/>
    <w:rsid w:val="00196BF2"/>
    <w:rsid w:val="001B5158"/>
    <w:rsid w:val="001C02BB"/>
    <w:rsid w:val="001C0943"/>
    <w:rsid w:val="001C33AD"/>
    <w:rsid w:val="001C4040"/>
    <w:rsid w:val="00224105"/>
    <w:rsid w:val="00247F0B"/>
    <w:rsid w:val="0025753F"/>
    <w:rsid w:val="00271CA2"/>
    <w:rsid w:val="00292FE2"/>
    <w:rsid w:val="00294EFF"/>
    <w:rsid w:val="002A756C"/>
    <w:rsid w:val="002B47AC"/>
    <w:rsid w:val="002C271A"/>
    <w:rsid w:val="002D6B21"/>
    <w:rsid w:val="002E3271"/>
    <w:rsid w:val="002E728F"/>
    <w:rsid w:val="002E7E68"/>
    <w:rsid w:val="002F3E9A"/>
    <w:rsid w:val="00300587"/>
    <w:rsid w:val="0032036B"/>
    <w:rsid w:val="00340C44"/>
    <w:rsid w:val="003415EE"/>
    <w:rsid w:val="00353700"/>
    <w:rsid w:val="003A1081"/>
    <w:rsid w:val="003B6280"/>
    <w:rsid w:val="003C18E4"/>
    <w:rsid w:val="003E4066"/>
    <w:rsid w:val="003F544A"/>
    <w:rsid w:val="0041784D"/>
    <w:rsid w:val="00444002"/>
    <w:rsid w:val="00457D2B"/>
    <w:rsid w:val="00474203"/>
    <w:rsid w:val="004765BB"/>
    <w:rsid w:val="00486D28"/>
    <w:rsid w:val="004F5E2B"/>
    <w:rsid w:val="00511B8E"/>
    <w:rsid w:val="005149D0"/>
    <w:rsid w:val="00516E70"/>
    <w:rsid w:val="005210DF"/>
    <w:rsid w:val="00533E66"/>
    <w:rsid w:val="00535F75"/>
    <w:rsid w:val="005941DB"/>
    <w:rsid w:val="005946AE"/>
    <w:rsid w:val="00596402"/>
    <w:rsid w:val="005C6291"/>
    <w:rsid w:val="006429D8"/>
    <w:rsid w:val="00645369"/>
    <w:rsid w:val="006476F6"/>
    <w:rsid w:val="00674D4B"/>
    <w:rsid w:val="00690256"/>
    <w:rsid w:val="006A2AD9"/>
    <w:rsid w:val="006B6F70"/>
    <w:rsid w:val="006C2049"/>
    <w:rsid w:val="006D14C5"/>
    <w:rsid w:val="006E18FE"/>
    <w:rsid w:val="006F09D9"/>
    <w:rsid w:val="00706665"/>
    <w:rsid w:val="007250AB"/>
    <w:rsid w:val="00730178"/>
    <w:rsid w:val="0073462B"/>
    <w:rsid w:val="007565B6"/>
    <w:rsid w:val="00780CC8"/>
    <w:rsid w:val="007961B6"/>
    <w:rsid w:val="007B2F60"/>
    <w:rsid w:val="007B4CC5"/>
    <w:rsid w:val="007B5A0E"/>
    <w:rsid w:val="007B7706"/>
    <w:rsid w:val="007D680C"/>
    <w:rsid w:val="00807910"/>
    <w:rsid w:val="00833CE6"/>
    <w:rsid w:val="00873A73"/>
    <w:rsid w:val="008753E9"/>
    <w:rsid w:val="0087655A"/>
    <w:rsid w:val="008827D3"/>
    <w:rsid w:val="008870B9"/>
    <w:rsid w:val="00891A47"/>
    <w:rsid w:val="008A2079"/>
    <w:rsid w:val="008A30F1"/>
    <w:rsid w:val="008B19DB"/>
    <w:rsid w:val="008E042A"/>
    <w:rsid w:val="00905B0A"/>
    <w:rsid w:val="0091366C"/>
    <w:rsid w:val="00917BA2"/>
    <w:rsid w:val="00922361"/>
    <w:rsid w:val="00943A26"/>
    <w:rsid w:val="00954D7C"/>
    <w:rsid w:val="00972E52"/>
    <w:rsid w:val="00975DEF"/>
    <w:rsid w:val="00980735"/>
    <w:rsid w:val="009C2992"/>
    <w:rsid w:val="009C5296"/>
    <w:rsid w:val="009F303B"/>
    <w:rsid w:val="00A04212"/>
    <w:rsid w:val="00A04F1F"/>
    <w:rsid w:val="00A34D86"/>
    <w:rsid w:val="00A46373"/>
    <w:rsid w:val="00A755F6"/>
    <w:rsid w:val="00A80C4B"/>
    <w:rsid w:val="00A906CE"/>
    <w:rsid w:val="00A956F4"/>
    <w:rsid w:val="00AA7C56"/>
    <w:rsid w:val="00AB3DCC"/>
    <w:rsid w:val="00B02361"/>
    <w:rsid w:val="00B0376B"/>
    <w:rsid w:val="00B630CC"/>
    <w:rsid w:val="00B64356"/>
    <w:rsid w:val="00BD25C8"/>
    <w:rsid w:val="00BD3FA4"/>
    <w:rsid w:val="00BE1861"/>
    <w:rsid w:val="00BF1490"/>
    <w:rsid w:val="00C21CE8"/>
    <w:rsid w:val="00C36BC6"/>
    <w:rsid w:val="00C53EC9"/>
    <w:rsid w:val="00C62EF7"/>
    <w:rsid w:val="00C74C68"/>
    <w:rsid w:val="00CE62DE"/>
    <w:rsid w:val="00D12F03"/>
    <w:rsid w:val="00D20885"/>
    <w:rsid w:val="00D41A9C"/>
    <w:rsid w:val="00D534D7"/>
    <w:rsid w:val="00D62FB4"/>
    <w:rsid w:val="00D6660D"/>
    <w:rsid w:val="00D670FD"/>
    <w:rsid w:val="00D80ABB"/>
    <w:rsid w:val="00DA1E3E"/>
    <w:rsid w:val="00DD4440"/>
    <w:rsid w:val="00E34D5E"/>
    <w:rsid w:val="00E6491A"/>
    <w:rsid w:val="00EA6B3A"/>
    <w:rsid w:val="00EC5E00"/>
    <w:rsid w:val="00ED0C4F"/>
    <w:rsid w:val="00EE7AB4"/>
    <w:rsid w:val="00EF4A3F"/>
    <w:rsid w:val="00F42370"/>
    <w:rsid w:val="00F44622"/>
    <w:rsid w:val="00FA5A5F"/>
    <w:rsid w:val="00FA7EF9"/>
    <w:rsid w:val="00FD1F06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1000C5-6BFB-4F38-A713-5BBC6A2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qFormat/>
    <w:rsid w:val="000B4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B4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4F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E042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0A546F"/>
    <w:pPr>
      <w:keepNext/>
      <w:ind w:right="284"/>
      <w:outlineLvl w:val="6"/>
    </w:pPr>
    <w:rPr>
      <w:rFonts w:ascii="Verdana" w:hAnsi="Verdana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66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706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6665"/>
  </w:style>
  <w:style w:type="paragraph" w:styleId="Rodap">
    <w:name w:val="footer"/>
    <w:basedOn w:val="Normal"/>
    <w:link w:val="Rodap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6665"/>
  </w:style>
  <w:style w:type="table" w:styleId="Tabelacomgrade">
    <w:name w:val="Table Grid"/>
    <w:basedOn w:val="Tabelanormal"/>
    <w:uiPriority w:val="59"/>
    <w:rsid w:val="009C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link w:val="Ttulo7"/>
    <w:rsid w:val="000A546F"/>
    <w:rPr>
      <w:rFonts w:ascii="Verdana" w:eastAsia="Times New Roman" w:hAnsi="Verdana" w:cs="Times New Roman"/>
      <w:color w:val="00008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A546F"/>
    <w:pPr>
      <w:ind w:firstLine="851"/>
      <w:jc w:val="both"/>
    </w:pPr>
    <w:rPr>
      <w:b/>
      <w:color w:val="000080"/>
      <w:sz w:val="24"/>
    </w:rPr>
  </w:style>
  <w:style w:type="character" w:customStyle="1" w:styleId="Recuodecorpodetexto2Char">
    <w:name w:val="Recuo de corpo de texto 2 Char"/>
    <w:link w:val="Recuodecorpodetexto2"/>
    <w:rsid w:val="000A546F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customStyle="1" w:styleId="Normalnumerado">
    <w:name w:val="Normal numerado"/>
    <w:basedOn w:val="Normal"/>
    <w:rsid w:val="009F303B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</w:rPr>
  </w:style>
  <w:style w:type="paragraph" w:customStyle="1" w:styleId="PargrafodaLista1">
    <w:name w:val="Parágrafo da Lista1"/>
    <w:basedOn w:val="Normal"/>
    <w:rsid w:val="000B4FE7"/>
    <w:pPr>
      <w:ind w:left="720"/>
      <w:contextualSpacing/>
    </w:pPr>
  </w:style>
  <w:style w:type="character" w:customStyle="1" w:styleId="02-TtuloPrincipal-CLGChar">
    <w:name w:val="02 - Título Principal - CLG Char"/>
    <w:link w:val="02-TtuloPrincipal-CLG"/>
    <w:locked/>
    <w:rsid w:val="008A30F1"/>
    <w:rPr>
      <w:rFonts w:ascii="Times New Roman" w:eastAsia="Times New Roman" w:hAnsi="Times New Roman"/>
      <w:b/>
      <w:bCs/>
      <w:sz w:val="32"/>
      <w:lang w:val="pt-BR" w:eastAsia="pt-BR" w:bidi="ar-SA"/>
    </w:rPr>
  </w:style>
  <w:style w:type="paragraph" w:customStyle="1" w:styleId="02-TtuloPrincipal-CLG">
    <w:name w:val="02 - Título Principal - CLG"/>
    <w:link w:val="02-TtuloPrincipal-CLGChar"/>
    <w:rsid w:val="008A30F1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03-Ementa-CLGCharChar">
    <w:name w:val="03 - Ementa - CLG Char Char"/>
    <w:link w:val="03-Ementa-CLG"/>
    <w:locked/>
    <w:rsid w:val="008A30F1"/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paragraph" w:customStyle="1" w:styleId="03-Ementa-CLG">
    <w:name w:val="03 - Ementa - CLG"/>
    <w:link w:val="03-Ementa-CLGCharChar"/>
    <w:rsid w:val="008A30F1"/>
    <w:pPr>
      <w:spacing w:after="960"/>
      <w:ind w:left="3686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04-Relatoria-CLGChar">
    <w:name w:val="04 - Relatoria - CLG Char"/>
    <w:link w:val="04-Relatoria-CLG"/>
    <w:locked/>
    <w:rsid w:val="008A30F1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4-Relatoria-CLG">
    <w:name w:val="04 - Relatoria - CLG"/>
    <w:link w:val="04-Relatoria-CLGChar"/>
    <w:rsid w:val="008A30F1"/>
    <w:pPr>
      <w:spacing w:after="960"/>
      <w:ind w:left="1440"/>
    </w:pPr>
    <w:rPr>
      <w:rFonts w:ascii="Times New Roman" w:eastAsia="Times New Roman" w:hAnsi="Times New Roman"/>
      <w:sz w:val="28"/>
    </w:rPr>
  </w:style>
  <w:style w:type="character" w:customStyle="1" w:styleId="05-Subttulo-CLGChar">
    <w:name w:val="05 - Subtítulo - CLG Char"/>
    <w:link w:val="05-Subttulo-CLG"/>
    <w:locked/>
    <w:rsid w:val="008A30F1"/>
    <w:rPr>
      <w:rFonts w:ascii="Times New Roman" w:eastAsia="Times New Roman" w:hAnsi="Times New Roman"/>
      <w:b/>
      <w:bCs/>
      <w:sz w:val="28"/>
      <w:lang w:val="pt-BR" w:eastAsia="pt-BR" w:bidi="ar-SA"/>
    </w:rPr>
  </w:style>
  <w:style w:type="paragraph" w:customStyle="1" w:styleId="05-Subttulo-CLG">
    <w:name w:val="05 - Subtítulo - CLG"/>
    <w:link w:val="05-Subttulo-CLGChar"/>
    <w:rsid w:val="008A30F1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character" w:customStyle="1" w:styleId="06-Pargrafodetexto-CLGChar">
    <w:name w:val="06 - Parágrafo de texto - CLG Char"/>
    <w:link w:val="06-Pargrafodetexto-CLG"/>
    <w:locked/>
    <w:rsid w:val="008A30F1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6-Pargrafodetexto-CLG">
    <w:name w:val="06 - Parágrafo de texto - CLG"/>
    <w:link w:val="06-Pargrafodetexto-CLGChar"/>
    <w:qFormat/>
    <w:rsid w:val="008A30F1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10-Local-CLGChar">
    <w:name w:val="10 - Local - CLG Char"/>
    <w:link w:val="10-Local-CLG"/>
    <w:locked/>
    <w:rsid w:val="008A30F1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10-Local-CLG">
    <w:name w:val="10 - Local - CLG"/>
    <w:link w:val="10-Local-CLGChar"/>
    <w:rsid w:val="008A30F1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character" w:customStyle="1" w:styleId="11-Assinaturas-CLGChar">
    <w:name w:val="11 - Assinaturas - CLG Char"/>
    <w:link w:val="11-Assinaturas-CLG"/>
    <w:locked/>
    <w:rsid w:val="008A30F1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11-Assinaturas-CLG">
    <w:name w:val="11 - Assinaturas - CLG"/>
    <w:link w:val="11-Assinaturas-CLGChar"/>
    <w:rsid w:val="008A30F1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paragraph" w:customStyle="1" w:styleId="07-Citaolegal-CLG">
    <w:name w:val="07 - Citação legal - CLG"/>
    <w:qFormat/>
    <w:rsid w:val="008A30F1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qFormat/>
    <w:rsid w:val="008A30F1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09-Ttuloemenda-CLG">
    <w:name w:val="09 - Título emenda - CLG"/>
    <w:rsid w:val="008A30F1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paragraph" w:customStyle="1" w:styleId="02-TtuloRQ-CLG">
    <w:name w:val="02 - Título RQ - CLG"/>
    <w:rsid w:val="008A2079"/>
    <w:pPr>
      <w:spacing w:after="144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PargrafodeTexto-RQ-CLG">
    <w:name w:val="03 - Parágrafo de Texto - RQ - CLG"/>
    <w:rsid w:val="008A2079"/>
    <w:pPr>
      <w:spacing w:before="120" w:after="240"/>
      <w:ind w:firstLine="1440"/>
    </w:pPr>
    <w:rPr>
      <w:rFonts w:ascii="Times New Roman" w:eastAsia="Times New Roman" w:hAnsi="Times New Roman"/>
      <w:sz w:val="28"/>
    </w:rPr>
  </w:style>
  <w:style w:type="paragraph" w:customStyle="1" w:styleId="05-Local-RQ-CLG">
    <w:name w:val="05 - Local - RQ - CLG"/>
    <w:rsid w:val="008A2079"/>
    <w:pPr>
      <w:spacing w:before="720" w:after="480"/>
      <w:ind w:left="2268"/>
    </w:pPr>
    <w:rPr>
      <w:rFonts w:ascii="Times New Roman" w:eastAsia="Times New Roman" w:hAnsi="Times New Roman"/>
      <w:sz w:val="28"/>
    </w:rPr>
  </w:style>
  <w:style w:type="paragraph" w:customStyle="1" w:styleId="06-IdentificaoParlamentar-RQ-CLG">
    <w:name w:val="06 - Identificação Parlamentar - RQ - CLG"/>
    <w:rsid w:val="008A2079"/>
    <w:pPr>
      <w:ind w:left="3402"/>
    </w:pPr>
    <w:rPr>
      <w:rFonts w:ascii="Times New Roman" w:eastAsia="Times New Roman" w:hAnsi="Times New Roman"/>
      <w:sz w:val="28"/>
      <w:szCs w:val="28"/>
    </w:rPr>
  </w:style>
  <w:style w:type="paragraph" w:customStyle="1" w:styleId="PreformattedText">
    <w:name w:val="Preformatted Text"/>
    <w:basedOn w:val="Normal"/>
    <w:rsid w:val="000B55B1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eastAsia="zh-CN" w:bidi="hi-IN"/>
    </w:rPr>
  </w:style>
  <w:style w:type="character" w:customStyle="1" w:styleId="apple-converted-space">
    <w:name w:val="apple-converted-space"/>
    <w:basedOn w:val="Fontepargpadro"/>
    <w:rsid w:val="000B55B1"/>
  </w:style>
  <w:style w:type="paragraph" w:customStyle="1" w:styleId="05-Pargrafodetexto-CLG">
    <w:name w:val="05 - Parágrafo de texto - CLG"/>
    <w:link w:val="05-Pargrafodetexto-CLGChar"/>
    <w:qFormat/>
    <w:rsid w:val="005941DB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5-Pargrafodetexto-CLGChar">
    <w:name w:val="05 - Parágrafo de texto - CLG Char"/>
    <w:link w:val="05-Pargrafodetexto-CLG"/>
    <w:rsid w:val="005941DB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6-Justificao-CLG">
    <w:name w:val="06 - Justificação - CLG"/>
    <w:link w:val="06-Justificao-CLGChar"/>
    <w:qFormat/>
    <w:rsid w:val="005941DB"/>
    <w:pPr>
      <w:spacing w:before="600" w:after="480"/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06-Justificao-CLGChar">
    <w:name w:val="06 - Justificação - CLG Char"/>
    <w:link w:val="06-Justificao-CLG"/>
    <w:rsid w:val="005941DB"/>
    <w:rPr>
      <w:rFonts w:ascii="Times New Roman" w:eastAsia="Times New Roman" w:hAnsi="Times New Roman"/>
      <w:b/>
      <w:bCs/>
      <w:sz w:val="28"/>
      <w:lang w:val="pt-BR" w:eastAsia="pt-BR" w:bidi="ar-SA"/>
    </w:rPr>
  </w:style>
  <w:style w:type="paragraph" w:customStyle="1" w:styleId="09-Local-CLG">
    <w:name w:val="09 - Local - CLG"/>
    <w:link w:val="09-Local-CLGChar"/>
    <w:rsid w:val="005941DB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character" w:customStyle="1" w:styleId="09-Local-CLGChar">
    <w:name w:val="09 - Local - CLG Char"/>
    <w:link w:val="09-Local-CLG"/>
    <w:rsid w:val="005941DB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10-IdentificaoParlamentar-CLG">
    <w:name w:val="10 - Identificação Parlamentar - CLG"/>
    <w:link w:val="10-IdentificaoParlamentar-CLGChar"/>
    <w:uiPriority w:val="99"/>
    <w:rsid w:val="005941DB"/>
    <w:pPr>
      <w:spacing w:line="360" w:lineRule="auto"/>
      <w:ind w:left="3402"/>
    </w:pPr>
    <w:rPr>
      <w:rFonts w:ascii="Times New Roman" w:eastAsia="Times New Roman" w:hAnsi="Times New Roman"/>
      <w:color w:val="000000"/>
      <w:sz w:val="28"/>
      <w:szCs w:val="9"/>
    </w:rPr>
  </w:style>
  <w:style w:type="character" w:customStyle="1" w:styleId="10-IdentificaoParlamentar-CLGChar">
    <w:name w:val="10 - Identificação Parlamentar - CLG Char"/>
    <w:link w:val="10-IdentificaoParlamentar-CLG"/>
    <w:uiPriority w:val="99"/>
    <w:rsid w:val="005941DB"/>
    <w:rPr>
      <w:rFonts w:ascii="Times New Roman" w:eastAsia="Times New Roman" w:hAnsi="Times New Roman"/>
      <w:color w:val="000000"/>
      <w:sz w:val="28"/>
      <w:szCs w:val="9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8E042A"/>
    <w:pPr>
      <w:spacing w:after="120"/>
      <w:ind w:left="283"/>
    </w:pPr>
  </w:style>
  <w:style w:type="character" w:customStyle="1" w:styleId="Ttulo3Char">
    <w:name w:val="Título 3 Char"/>
    <w:link w:val="Ttulo3"/>
    <w:rsid w:val="0041784D"/>
    <w:rPr>
      <w:rFonts w:ascii="Arial" w:eastAsia="Times New Roman" w:hAnsi="Arial" w:cs="Arial"/>
      <w:b/>
      <w:bCs/>
      <w:sz w:val="26"/>
      <w:szCs w:val="26"/>
    </w:rPr>
  </w:style>
  <w:style w:type="character" w:customStyle="1" w:styleId="02-TtuloEmenda-CLGChar">
    <w:name w:val="02 - Título Emenda - CLG Char"/>
    <w:link w:val="02-TtuloEmenda-CLG"/>
    <w:rsid w:val="0041784D"/>
    <w:rPr>
      <w:b/>
      <w:bCs/>
      <w:sz w:val="32"/>
      <w:lang w:val="pt-BR" w:eastAsia="pt-BR" w:bidi="ar-SA"/>
    </w:rPr>
  </w:style>
  <w:style w:type="character" w:customStyle="1" w:styleId="03-IdentificaodoEmendado-CLGChar">
    <w:name w:val="03 - Identificação do Emendado - CLG Char"/>
    <w:link w:val="03-IdentificaodoEmendado-CLG"/>
    <w:rsid w:val="0041784D"/>
    <w:rPr>
      <w:sz w:val="24"/>
      <w:lang w:val="pt-BR" w:eastAsia="pt-BR" w:bidi="ar-SA"/>
    </w:rPr>
  </w:style>
  <w:style w:type="paragraph" w:customStyle="1" w:styleId="02-TtuloEmenda-CLG">
    <w:name w:val="02 - Título Emenda - CLG"/>
    <w:link w:val="02-TtuloEmenda-CLGChar"/>
    <w:rsid w:val="0041784D"/>
    <w:pPr>
      <w:jc w:val="center"/>
    </w:pPr>
    <w:rPr>
      <w:b/>
      <w:bCs/>
      <w:sz w:val="32"/>
    </w:rPr>
  </w:style>
  <w:style w:type="paragraph" w:customStyle="1" w:styleId="03-IdentificaodoEmendado-CLG">
    <w:name w:val="03 - Identificação do Emendado - CLG"/>
    <w:link w:val="03-IdentificaodoEmendado-CLGChar"/>
    <w:rsid w:val="0041784D"/>
    <w:pPr>
      <w:spacing w:after="1440"/>
      <w:jc w:val="center"/>
    </w:pPr>
    <w:rPr>
      <w:sz w:val="24"/>
    </w:rPr>
  </w:style>
  <w:style w:type="paragraph" w:customStyle="1" w:styleId="04-PargrafodeTexto-CLG">
    <w:name w:val="04 - Parágrafo de Texto - CLG"/>
    <w:link w:val="04-PargrafodeTexto-CLGChar"/>
    <w:rsid w:val="0041784D"/>
    <w:pPr>
      <w:ind w:firstLine="1440"/>
      <w:jc w:val="both"/>
    </w:pPr>
    <w:rPr>
      <w:rFonts w:ascii="Times New Roman" w:eastAsia="Times New Roman" w:hAnsi="Times New Roman"/>
      <w:sz w:val="28"/>
    </w:rPr>
  </w:style>
  <w:style w:type="paragraph" w:customStyle="1" w:styleId="07-Justificao-CLG">
    <w:name w:val="07 - Justificação - CLG"/>
    <w:link w:val="07-Justificao-CLGChar"/>
    <w:rsid w:val="0041784D"/>
    <w:pPr>
      <w:spacing w:before="840" w:after="480"/>
      <w:jc w:val="center"/>
    </w:pPr>
    <w:rPr>
      <w:rFonts w:ascii="Times New Roman" w:eastAsia="Times New Roman" w:hAnsi="Times New Roman"/>
      <w:b/>
      <w:bCs/>
      <w:sz w:val="28"/>
    </w:rPr>
  </w:style>
  <w:style w:type="paragraph" w:customStyle="1" w:styleId="08-Local-CLG">
    <w:name w:val="08 - Local - CLG"/>
    <w:link w:val="08-Local-CLGChar"/>
    <w:rsid w:val="0041784D"/>
    <w:pPr>
      <w:spacing w:before="840" w:after="720"/>
      <w:ind w:left="2279"/>
      <w:jc w:val="both"/>
    </w:pPr>
    <w:rPr>
      <w:rFonts w:ascii="Times New Roman" w:eastAsia="Times New Roman" w:hAnsi="Times New Roman"/>
      <w:sz w:val="28"/>
    </w:rPr>
  </w:style>
  <w:style w:type="paragraph" w:customStyle="1" w:styleId="09-IdentificaoParlamentar-CLG">
    <w:name w:val="09 - Identificação Parlamentar - CLG"/>
    <w:link w:val="09-IdentificaoParlamentar-CLGChar"/>
    <w:rsid w:val="0041784D"/>
    <w:pPr>
      <w:ind w:firstLine="1440"/>
      <w:jc w:val="center"/>
    </w:pPr>
    <w:rPr>
      <w:rFonts w:ascii="Times New Roman" w:eastAsia="Times New Roman" w:hAnsi="Times New Roman"/>
      <w:sz w:val="28"/>
    </w:rPr>
  </w:style>
  <w:style w:type="character" w:customStyle="1" w:styleId="04-PargrafodeTexto-CLGChar">
    <w:name w:val="04 - Parágrafo de Texto - CLG Char"/>
    <w:link w:val="04-PargrafodeTexto-CLG"/>
    <w:rsid w:val="0041784D"/>
    <w:rPr>
      <w:rFonts w:ascii="Times New Roman" w:eastAsia="Times New Roman" w:hAnsi="Times New Roman"/>
      <w:sz w:val="28"/>
      <w:lang w:bidi="ar-SA"/>
    </w:rPr>
  </w:style>
  <w:style w:type="character" w:customStyle="1" w:styleId="07-Justificao-CLGChar">
    <w:name w:val="07 - Justificação - CLG Char"/>
    <w:link w:val="07-Justificao-CLG"/>
    <w:rsid w:val="0041784D"/>
    <w:rPr>
      <w:rFonts w:ascii="Times New Roman" w:eastAsia="Times New Roman" w:hAnsi="Times New Roman"/>
      <w:b/>
      <w:bCs/>
      <w:sz w:val="28"/>
      <w:lang w:bidi="ar-SA"/>
    </w:rPr>
  </w:style>
  <w:style w:type="character" w:customStyle="1" w:styleId="08-Local-CLGChar">
    <w:name w:val="08 - Local - CLG Char"/>
    <w:link w:val="08-Local-CLG"/>
    <w:rsid w:val="0041784D"/>
    <w:rPr>
      <w:rFonts w:ascii="Times New Roman" w:eastAsia="Times New Roman" w:hAnsi="Times New Roman"/>
      <w:sz w:val="28"/>
      <w:lang w:bidi="ar-SA"/>
    </w:rPr>
  </w:style>
  <w:style w:type="character" w:customStyle="1" w:styleId="09-IdentificaoParlamentar-CLGChar">
    <w:name w:val="09 - Identificação Parlamentar - CLG Char"/>
    <w:link w:val="09-IdentificaoParlamentar-CLG"/>
    <w:rsid w:val="0041784D"/>
    <w:rPr>
      <w:rFonts w:ascii="Times New Roman" w:eastAsia="Times New Roman" w:hAnsi="Times New Roman"/>
      <w:sz w:val="28"/>
      <w:lang w:bidi="ar-SA"/>
    </w:rPr>
  </w:style>
  <w:style w:type="paragraph" w:customStyle="1" w:styleId="04-PargrafodetextoEstudoNotas-CLG">
    <w:name w:val="04 - Parágrafo de texto Estudo Notas - CLG"/>
    <w:link w:val="04-PargrafodetextoEstudoNotas-CLGChar"/>
    <w:rsid w:val="0041784D"/>
    <w:pPr>
      <w:spacing w:after="360" w:line="360" w:lineRule="auto"/>
      <w:ind w:firstLine="1418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customStyle="1" w:styleId="04-PargrafodetextoEstudoNotas-CLGChar">
    <w:name w:val="04 - Parágrafo de texto Estudo Notas - CLG Char"/>
    <w:link w:val="04-PargrafodetextoEstudoNotas-CLG"/>
    <w:rsid w:val="0041784D"/>
    <w:rPr>
      <w:rFonts w:ascii="Times New Roman" w:eastAsia="Times New Roman" w:hAnsi="Times New Roman"/>
      <w:sz w:val="28"/>
      <w:lang w:val="en-US" w:eastAsia="en-US" w:bidi="ar-SA"/>
    </w:rPr>
  </w:style>
  <w:style w:type="paragraph" w:customStyle="1" w:styleId="05-Citaolegal-linhasiniciais-CLG">
    <w:name w:val="05 - Citação legal - linhas iniciais - CLG"/>
    <w:link w:val="05-Citaolegal-linhasiniciais-CLGChar"/>
    <w:rsid w:val="0041784D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  <w:lang w:val="en-US" w:eastAsia="en-US"/>
    </w:rPr>
  </w:style>
  <w:style w:type="character" w:customStyle="1" w:styleId="05-Citaolegal-linhasiniciais-CLGChar">
    <w:name w:val="05 - Citação legal - linhas iniciais - CLG Char"/>
    <w:link w:val="05-Citaolegal-linhasiniciais-CLG"/>
    <w:rsid w:val="0041784D"/>
    <w:rPr>
      <w:rFonts w:ascii="Times New Roman" w:eastAsia="Times New Roman" w:hAnsi="Times New Roman"/>
      <w:bCs/>
      <w:sz w:val="24"/>
      <w:lang w:val="en-US" w:eastAsia="en-US" w:bidi="ar-SA"/>
    </w:rPr>
  </w:style>
  <w:style w:type="paragraph" w:styleId="TextosemFormatao">
    <w:name w:val="Plain Text"/>
    <w:basedOn w:val="Normal"/>
    <w:link w:val="TextosemFormataoChar"/>
    <w:uiPriority w:val="99"/>
    <w:semiHidden/>
    <w:rsid w:val="00533E66"/>
    <w:pPr>
      <w:spacing w:after="120"/>
      <w:ind w:firstLine="709"/>
      <w:jc w:val="both"/>
    </w:pPr>
    <w:rPr>
      <w:rFonts w:ascii="Arial" w:hAnsi="Arial"/>
      <w:sz w:val="24"/>
    </w:rPr>
  </w:style>
  <w:style w:type="character" w:customStyle="1" w:styleId="TextosemFormataoChar">
    <w:name w:val="Texto sem Formatação Char"/>
    <w:link w:val="TextosemFormatao"/>
    <w:uiPriority w:val="99"/>
    <w:semiHidden/>
    <w:rsid w:val="00533E66"/>
    <w:rPr>
      <w:rFonts w:ascii="Arial" w:eastAsia="Times New Roman" w:hAnsi="Arial"/>
      <w:sz w:val="24"/>
    </w:rPr>
  </w:style>
  <w:style w:type="paragraph" w:customStyle="1" w:styleId="uTextoCitao">
    <w:name w:val="_u Texto Citação"/>
    <w:basedOn w:val="Normal"/>
    <w:uiPriority w:val="99"/>
    <w:qFormat/>
    <w:rsid w:val="00533E66"/>
    <w:pPr>
      <w:tabs>
        <w:tab w:val="left" w:pos="283"/>
      </w:tabs>
      <w:autoSpaceDE w:val="0"/>
      <w:autoSpaceDN w:val="0"/>
      <w:adjustRightInd w:val="0"/>
      <w:spacing w:before="57" w:after="57" w:line="300" w:lineRule="atLeast"/>
      <w:ind w:left="1134"/>
      <w:jc w:val="both"/>
    </w:pPr>
    <w:rPr>
      <w:color w:val="000000"/>
      <w:kern w:val="20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533E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533E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E66"/>
  </w:style>
  <w:style w:type="character" w:customStyle="1" w:styleId="TextodenotaderodapChar">
    <w:name w:val="Texto de nota de rodapé Char"/>
    <w:link w:val="Textodenotaderodap"/>
    <w:uiPriority w:val="99"/>
    <w:semiHidden/>
    <w:rsid w:val="00533E66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33E66"/>
    <w:rPr>
      <w:vertAlign w:val="superscript"/>
    </w:rPr>
  </w:style>
  <w:style w:type="character" w:customStyle="1" w:styleId="RecuodecorpodetextoChar">
    <w:name w:val="Recuo de corpo de texto Char"/>
    <w:link w:val="Recuodecorpodetexto"/>
    <w:rsid w:val="00300587"/>
    <w:rPr>
      <w:rFonts w:ascii="Times New Roman" w:eastAsia="Times New Roman" w:hAnsi="Times New Roman"/>
    </w:rPr>
  </w:style>
  <w:style w:type="character" w:customStyle="1" w:styleId="08-Citaolegal-ltimalinha-CLGCharChar">
    <w:name w:val="08 - Citação legal - última linha - CLG Char Char"/>
    <w:link w:val="08-Citaolegal-ltimalinha-CLG"/>
    <w:rsid w:val="00891A4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1202</Words>
  <Characters>6492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Senado Federal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isabelas</dc:creator>
  <cp:keywords/>
  <cp:lastModifiedBy>Mariana Bandeira dos Santos Rezende</cp:lastModifiedBy>
  <cp:revision>2</cp:revision>
  <cp:lastPrinted>2016-02-23T12:16:00Z</cp:lastPrinted>
  <dcterms:created xsi:type="dcterms:W3CDTF">2016-08-11T19:28:00Z</dcterms:created>
  <dcterms:modified xsi:type="dcterms:W3CDTF">2016-08-11T19:28:00Z</dcterms:modified>
</cp:coreProperties>
</file>