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31" w:rsidRPr="00C71E31" w:rsidRDefault="00C71E31" w:rsidP="00237A4E">
      <w:pPr>
        <w:pStyle w:val="02-TtuloPrincipal-CLG"/>
        <w:spacing w:line="360" w:lineRule="auto"/>
        <w:rPr>
          <w:rFonts w:ascii="Arial" w:hAnsi="Arial" w:cs="Arial"/>
        </w:rPr>
      </w:pPr>
      <w:bookmarkStart w:id="0" w:name="_GoBack"/>
      <w:bookmarkEnd w:id="0"/>
      <w:r w:rsidRPr="00C71E31">
        <w:rPr>
          <w:rFonts w:ascii="Arial" w:hAnsi="Arial" w:cs="Arial"/>
        </w:rPr>
        <w:t xml:space="preserve">PARECER Nº   </w:t>
      </w:r>
      <w:r w:rsidR="0068246F">
        <w:rPr>
          <w:rFonts w:ascii="Arial" w:hAnsi="Arial" w:cs="Arial"/>
        </w:rPr>
        <w:t xml:space="preserve">   </w:t>
      </w:r>
      <w:r w:rsidRPr="00C71E31">
        <w:rPr>
          <w:rFonts w:ascii="Arial" w:hAnsi="Arial" w:cs="Arial"/>
        </w:rPr>
        <w:t xml:space="preserve">     , DE 2016</w:t>
      </w:r>
    </w:p>
    <w:p w:rsidR="00C71E31" w:rsidRPr="00C71E31" w:rsidRDefault="00C71E31" w:rsidP="00237A4E">
      <w:pPr>
        <w:pStyle w:val="03-Ementa-CLG"/>
        <w:spacing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Da COMISSÃO DE DESENVOLVIMENTO REGIONAL E TURISMO, sobre o Projeto de Lei da Câmara nº 51, de 2014 (Projeto de Lei nº 3.636, de 2000, na origem), do Deputado Lincoln Portela, que </w:t>
      </w:r>
      <w:r w:rsidRPr="00C71E31">
        <w:rPr>
          <w:rFonts w:ascii="Arial" w:hAnsi="Arial" w:cs="Arial"/>
          <w:i/>
        </w:rPr>
        <w:t>obriga o uso de torneiras com dispositivo de vedação automática de água em todos os banheiros de uso coletivo</w:t>
      </w:r>
      <w:r w:rsidRPr="00C71E31">
        <w:rPr>
          <w:rFonts w:ascii="Arial" w:hAnsi="Arial" w:cs="Arial"/>
        </w:rPr>
        <w:t>.</w:t>
      </w:r>
    </w:p>
    <w:p w:rsidR="00C71E31" w:rsidRPr="00C71E31" w:rsidRDefault="00C71E31" w:rsidP="00237A4E">
      <w:pPr>
        <w:pStyle w:val="04-Relatoria-CLG"/>
        <w:spacing w:line="360" w:lineRule="auto"/>
        <w:rPr>
          <w:rFonts w:ascii="Arial" w:hAnsi="Arial" w:cs="Arial"/>
          <w:b/>
        </w:rPr>
      </w:pPr>
      <w:r w:rsidRPr="00C71E31">
        <w:rPr>
          <w:rFonts w:ascii="Arial" w:hAnsi="Arial" w:cs="Arial"/>
        </w:rPr>
        <w:t>RELATOR: Senador</w:t>
      </w:r>
      <w:r w:rsidRPr="00C71E31">
        <w:rPr>
          <w:rFonts w:ascii="Arial" w:hAnsi="Arial" w:cs="Arial"/>
          <w:b/>
        </w:rPr>
        <w:t xml:space="preserve"> WELLINGTON FAGUNDES</w:t>
      </w:r>
    </w:p>
    <w:p w:rsidR="00C71E31" w:rsidRPr="00C71E31" w:rsidRDefault="00C71E31" w:rsidP="00237A4E">
      <w:pPr>
        <w:pStyle w:val="05-Subttulo-CLG"/>
        <w:spacing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>I – RELATÓRIO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Submete-se ao exame desta Comissão o Projeto de Lei da Câmara (PLC) nº 51, de 2014, que </w:t>
      </w:r>
      <w:r w:rsidRPr="00C71E31">
        <w:rPr>
          <w:rFonts w:ascii="Arial" w:hAnsi="Arial" w:cs="Arial"/>
          <w:i/>
        </w:rPr>
        <w:t>obriga o uso de torneiras com dispositivo de vedação automática de água em todos os banheiros de uso coletivo.</w:t>
      </w:r>
      <w:r w:rsidRPr="00C71E31">
        <w:rPr>
          <w:rFonts w:ascii="Arial" w:hAnsi="Arial" w:cs="Arial"/>
        </w:rPr>
        <w:t xml:space="preserve"> 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A iniciativa determina que todos os banheiros de uso coletivo localizados em edifícios públicos, comerciais e residenciais, que venham a ser construídos após a edição da lei proposta, deverão ter seus lavatórios obrigatoriamente equipados com “torneiras compostas de mecanismo automático de vedação de água, eletrônico ou mecânico”. Adiante, impede a concessão do “respectivo habite-se” às obras executadas em desacordo com essa obrigação, </w:t>
      </w:r>
      <w:r w:rsidRPr="00C71E31">
        <w:rPr>
          <w:rFonts w:ascii="Arial" w:hAnsi="Arial" w:cs="Arial"/>
        </w:rPr>
        <w:lastRenderedPageBreak/>
        <w:t xml:space="preserve">atribuindo a fiscalização necessária aos “órgãos competentes no âmbito de cada Município”. 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Ao justificar a iniciativa, o autor argumenta que a proposição objetiva “minimizar o grande desafio que estaremos enfrentando nos próximos anos”, referindo-se ao “anunciado colapso” no abastecimento hídrico. 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>Na Casa de origem, a matéria foi distribuída às Comissões de Defesa do Consumidor; e de Constituição e Justiça e de Cidadania, as quais, por unanimidade, acolheram a proposição.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No Senado Federal, o exame da matéria foi inicialmente cometido às Comissões de Desenvolvimento Regional e Turismo (CDR); e de Meio Ambiente, Defesa do Consumidor e Fiscalização e Controle (CMA). 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A CDR aprovou um parecer inicial solicitando audiência da Comissão de Constituição, Justiça e Cidadania (CCJ), por entender haver dúvida sobre eventual desrespeito à autonomia municipal. O parecer na CCJ foi no sentido da constitucionalidade e juridicidade da proposição, com uma emenda de redação destinada tornar claro que a obrigação criada se aplica apenas aos “banheiros destinados ao público”, não abrangendo os banheiros de uso comum da residência familiar.  </w:t>
      </w:r>
    </w:p>
    <w:p w:rsidR="00C71E31" w:rsidRPr="00C71E31" w:rsidRDefault="00C71E31" w:rsidP="00237A4E">
      <w:pPr>
        <w:pStyle w:val="05-Subttulo-CLG"/>
        <w:spacing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>II – ANÁLISE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  <w:szCs w:val="28"/>
        </w:rPr>
      </w:pPr>
      <w:r w:rsidRPr="00C71E31">
        <w:rPr>
          <w:rFonts w:ascii="Arial" w:hAnsi="Arial" w:cs="Arial"/>
          <w:szCs w:val="28"/>
        </w:rPr>
        <w:t xml:space="preserve">Nos termos do art. 104-A do Regimento Interno, compete à Comissão de Desenvolvimento Regional e Turismo (CDR) opinar sobre a matéria. 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  <w:szCs w:val="28"/>
        </w:rPr>
      </w:pPr>
      <w:r w:rsidRPr="00C71E31">
        <w:rPr>
          <w:rFonts w:ascii="Arial" w:hAnsi="Arial" w:cs="Arial"/>
          <w:szCs w:val="28"/>
        </w:rPr>
        <w:t>Não resta dúvida quanto à importância ambiental, econômica e social do tema da proposição. De fato, o crescente déficit de água potável, que já afeta grande parte das médias e grandes cidades brasileiras, impõe medidas de restrição ao desperdício desse insumo essencial.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  <w:szCs w:val="28"/>
        </w:rPr>
      </w:pPr>
      <w:r w:rsidRPr="00C71E31">
        <w:rPr>
          <w:rFonts w:ascii="Arial" w:hAnsi="Arial" w:cs="Arial"/>
          <w:szCs w:val="28"/>
        </w:rPr>
        <w:t xml:space="preserve">As torneiras de banheiros públicos são particularmente sensíveis ao desperdício, uma vez que o usuário não é o responsável pelo pagamento da água que utiliza. Não raro, verifica-se que parcela significativa dos usuários não se dá ao trabalho de fechar a torneira da pia após usá-la, o que acarreta prejuízo financeiro para o erário e desperdício de um recurso natural cada vez mais escasso, como é o caso da água. 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  <w:szCs w:val="28"/>
        </w:rPr>
      </w:pPr>
      <w:r w:rsidRPr="00C71E31">
        <w:rPr>
          <w:rFonts w:ascii="Arial" w:hAnsi="Arial" w:cs="Arial"/>
          <w:szCs w:val="28"/>
        </w:rPr>
        <w:t>Registre-se, ainda, que, além de evitarem o desperdício de água, os dispositivos requeridos pelo projeto também contribuem para a saúde pública, uma vez que permitem a interrupção do fluxo de água sem contato físico do usuário com a torneira, limitando, assim, a possibilidade de transmissão de micro-organismos depois de lavada a mão.</w:t>
      </w:r>
    </w:p>
    <w:p w:rsid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  <w:szCs w:val="28"/>
        </w:rPr>
      </w:pPr>
      <w:r w:rsidRPr="00C71E31">
        <w:rPr>
          <w:rFonts w:ascii="Arial" w:hAnsi="Arial" w:cs="Arial"/>
          <w:szCs w:val="28"/>
        </w:rPr>
        <w:t xml:space="preserve">Ao substituir a expressão “banheiros de uso coletivo” por “banheiros destinados ao público”, a emenda </w:t>
      </w:r>
      <w:r w:rsidR="00602FA2">
        <w:rPr>
          <w:rFonts w:ascii="Arial" w:hAnsi="Arial" w:cs="Arial"/>
          <w:szCs w:val="28"/>
        </w:rPr>
        <w:t>de redação da CCJ clarifica o entendimento</w:t>
      </w:r>
      <w:r w:rsidRPr="00C71E31">
        <w:rPr>
          <w:rFonts w:ascii="Arial" w:hAnsi="Arial" w:cs="Arial"/>
          <w:szCs w:val="28"/>
        </w:rPr>
        <w:t xml:space="preserve"> do projeto, de modo a </w:t>
      </w:r>
      <w:r w:rsidR="00602FA2">
        <w:rPr>
          <w:rFonts w:ascii="Arial" w:hAnsi="Arial" w:cs="Arial"/>
          <w:szCs w:val="28"/>
        </w:rPr>
        <w:t xml:space="preserve">mostrar que a </w:t>
      </w:r>
      <w:r w:rsidRPr="00C71E31">
        <w:rPr>
          <w:rFonts w:ascii="Arial" w:hAnsi="Arial" w:cs="Arial"/>
          <w:szCs w:val="28"/>
        </w:rPr>
        <w:t>incidência</w:t>
      </w:r>
      <w:r w:rsidR="00602FA2">
        <w:rPr>
          <w:rFonts w:ascii="Arial" w:hAnsi="Arial" w:cs="Arial"/>
          <w:szCs w:val="28"/>
        </w:rPr>
        <w:t xml:space="preserve"> da matéria recai sobre as </w:t>
      </w:r>
      <w:r w:rsidRPr="00C71E31">
        <w:rPr>
          <w:rFonts w:ascii="Arial" w:hAnsi="Arial" w:cs="Arial"/>
          <w:szCs w:val="28"/>
        </w:rPr>
        <w:t xml:space="preserve">situações em que há acesso geral ao público, preservando a liberdade do proprietário de instalar ou não equipamentos de contenção do fluxo de água nos demais casos. </w:t>
      </w:r>
    </w:p>
    <w:p w:rsidR="00237A4E" w:rsidRDefault="00237A4E" w:rsidP="00237A4E">
      <w:pPr>
        <w:pStyle w:val="06-Pargrafodetexto-CLG"/>
        <w:spacing w:after="240" w:line="360" w:lineRule="auto"/>
        <w:rPr>
          <w:rFonts w:ascii="Arial" w:hAnsi="Arial" w:cs="Arial"/>
          <w:szCs w:val="28"/>
        </w:rPr>
      </w:pPr>
    </w:p>
    <w:p w:rsidR="00237A4E" w:rsidRPr="00C71E31" w:rsidRDefault="00237A4E" w:rsidP="00237A4E">
      <w:pPr>
        <w:pStyle w:val="06-Pargrafodetexto-CLG"/>
        <w:spacing w:after="240" w:line="360" w:lineRule="auto"/>
        <w:rPr>
          <w:rFonts w:ascii="Arial" w:hAnsi="Arial" w:cs="Arial"/>
          <w:szCs w:val="28"/>
        </w:rPr>
      </w:pPr>
    </w:p>
    <w:p w:rsidR="00C71E31" w:rsidRPr="00C71E31" w:rsidRDefault="00C71E31" w:rsidP="00237A4E">
      <w:pPr>
        <w:pStyle w:val="05-Subttulo-CLG"/>
        <w:spacing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>III – VOTO</w:t>
      </w:r>
    </w:p>
    <w:p w:rsidR="00C71E31" w:rsidRPr="00C71E31" w:rsidRDefault="00C71E31" w:rsidP="00237A4E">
      <w:pPr>
        <w:pStyle w:val="06-Pargrafodetexto-CLG"/>
        <w:spacing w:after="240"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Ante o exposto, voto pela </w:t>
      </w:r>
      <w:r w:rsidRPr="00C71E31">
        <w:rPr>
          <w:rFonts w:ascii="Arial" w:hAnsi="Arial" w:cs="Arial"/>
          <w:b/>
        </w:rPr>
        <w:t>aprovação</w:t>
      </w:r>
      <w:r w:rsidRPr="00C71E31">
        <w:rPr>
          <w:rFonts w:ascii="Arial" w:hAnsi="Arial" w:cs="Arial"/>
        </w:rPr>
        <w:t xml:space="preserve"> do Projeto de Lei da Câmara nº 51, de 2014, com a Emenda nº 1 </w:t>
      </w:r>
      <w:r w:rsidR="00237A4E">
        <w:rPr>
          <w:rFonts w:ascii="Arial" w:hAnsi="Arial" w:cs="Arial"/>
        </w:rPr>
        <w:t>–</w:t>
      </w:r>
      <w:r w:rsidRPr="00C71E31">
        <w:rPr>
          <w:rFonts w:ascii="Arial" w:hAnsi="Arial" w:cs="Arial"/>
        </w:rPr>
        <w:t xml:space="preserve"> CCJ</w:t>
      </w:r>
      <w:r w:rsidR="00602FA2">
        <w:rPr>
          <w:rFonts w:ascii="Arial" w:hAnsi="Arial" w:cs="Arial"/>
        </w:rPr>
        <w:t xml:space="preserve"> (de Redação)</w:t>
      </w:r>
      <w:r w:rsidRPr="00C71E31">
        <w:rPr>
          <w:rFonts w:ascii="Arial" w:hAnsi="Arial" w:cs="Arial"/>
        </w:rPr>
        <w:t>.</w:t>
      </w:r>
    </w:p>
    <w:p w:rsidR="00C71E31" w:rsidRPr="00C71E31" w:rsidRDefault="00C71E31" w:rsidP="00237A4E">
      <w:pPr>
        <w:pStyle w:val="10-Local-CLG"/>
        <w:spacing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>Sala da Comissão,</w:t>
      </w:r>
    </w:p>
    <w:p w:rsidR="00C71E31" w:rsidRPr="00C71E31" w:rsidRDefault="00C71E31" w:rsidP="00237A4E">
      <w:pPr>
        <w:pStyle w:val="Recuodecorpodetexto21"/>
        <w:spacing w:line="360" w:lineRule="auto"/>
        <w:ind w:firstLine="0"/>
        <w:rPr>
          <w:rFonts w:ascii="Arial" w:hAnsi="Arial" w:cs="Arial"/>
          <w:sz w:val="16"/>
        </w:rPr>
      </w:pPr>
    </w:p>
    <w:p w:rsidR="00C71E31" w:rsidRPr="00C71E31" w:rsidRDefault="00C71E31" w:rsidP="00237A4E">
      <w:pPr>
        <w:pStyle w:val="11-Assinaturas-CLG"/>
        <w:spacing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>, Presidente</w:t>
      </w:r>
    </w:p>
    <w:p w:rsidR="00C71E31" w:rsidRPr="00C71E31" w:rsidRDefault="00C71E31" w:rsidP="00237A4E">
      <w:pPr>
        <w:pStyle w:val="11-Assinaturas-CLG"/>
        <w:spacing w:line="360" w:lineRule="auto"/>
        <w:rPr>
          <w:rFonts w:ascii="Arial" w:hAnsi="Arial" w:cs="Arial"/>
        </w:rPr>
      </w:pPr>
      <w:r w:rsidRPr="00C71E31">
        <w:rPr>
          <w:rFonts w:ascii="Arial" w:hAnsi="Arial" w:cs="Arial"/>
        </w:rPr>
        <w:t xml:space="preserve">, Relator </w:t>
      </w:r>
    </w:p>
    <w:p w:rsidR="00C71E31" w:rsidRPr="00C71E31" w:rsidRDefault="00C71E31" w:rsidP="00237A4E">
      <w:pPr>
        <w:pStyle w:val="Recuodecorpodetexto21"/>
        <w:spacing w:line="360" w:lineRule="auto"/>
        <w:ind w:left="7380" w:firstLine="0"/>
        <w:rPr>
          <w:rFonts w:ascii="Arial" w:hAnsi="Arial" w:cs="Arial"/>
        </w:rPr>
      </w:pPr>
    </w:p>
    <w:sectPr w:rsidR="00C71E31" w:rsidRPr="00C71E31" w:rsidSect="003C7469">
      <w:headerReference w:type="default" r:id="rId8"/>
      <w:footerReference w:type="default" r:id="rId9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00" w:rsidRDefault="00C64700" w:rsidP="0066471C">
      <w:pPr>
        <w:spacing w:after="0" w:line="240" w:lineRule="auto"/>
      </w:pPr>
      <w:r>
        <w:separator/>
      </w:r>
    </w:p>
  </w:endnote>
  <w:endnote w:type="continuationSeparator" w:id="0">
    <w:p w:rsidR="00C64700" w:rsidRDefault="00C64700" w:rsidP="006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00" w:rsidRDefault="00602FA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C7F08">
      <w:rPr>
        <w:noProof/>
      </w:rPr>
      <w:t>4</w:t>
    </w:r>
    <w:r>
      <w:rPr>
        <w:noProof/>
      </w:rPr>
      <w:fldChar w:fldCharType="end"/>
    </w:r>
  </w:p>
  <w:p w:rsidR="00C64700" w:rsidRDefault="00C647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00" w:rsidRDefault="00C64700" w:rsidP="0066471C">
      <w:pPr>
        <w:spacing w:after="0" w:line="240" w:lineRule="auto"/>
      </w:pPr>
      <w:r>
        <w:separator/>
      </w:r>
    </w:p>
  </w:footnote>
  <w:footnote w:type="continuationSeparator" w:id="0">
    <w:p w:rsidR="00C64700" w:rsidRDefault="00C64700" w:rsidP="0066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00" w:rsidRDefault="00C71E31" w:rsidP="00981B9F">
    <w:pPr>
      <w:pStyle w:val="Cabealho"/>
    </w:pPr>
    <w:r>
      <w:rPr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-231140</wp:posOffset>
              </wp:positionV>
              <wp:extent cx="771525" cy="790575"/>
              <wp:effectExtent l="9525" t="6985" r="9525" b="1206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700" w:rsidRDefault="00C6470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594360" cy="655320"/>
                                <wp:effectExtent l="19050" t="0" r="0" b="0"/>
                                <wp:docPr id="1" name="Imagem 1" descr="C:\Users\Arthur\OneDrive\Mato Grosso\Selo Nacio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C:\Users\Arthur\OneDrive\Mato Grosso\Selo Nacio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8.2pt;width:60.75pt;height: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" strokecolor="white">
              <v:textbox>
                <w:txbxContent>
                  <w:p w:rsidR="00C64700" w:rsidRDefault="00C6470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594360" cy="655320"/>
                          <wp:effectExtent l="19050" t="0" r="0" b="0"/>
                          <wp:docPr id="1" name="Imagem 1" descr="C:\Users\Arthur\OneDrive\Mato Grosso\Selo Nacio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C:\Users\Arthur\OneDrive\Mato Grosso\Selo Nacio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36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4700" w:rsidRPr="00810853">
      <w:rPr>
        <w:b/>
      </w:rPr>
      <w:t>SENADO</w:t>
    </w:r>
    <w:r w:rsidR="00C64700">
      <w:t xml:space="preserve"> </w:t>
    </w:r>
    <w:r w:rsidR="00C64700" w:rsidRPr="00810853">
      <w:rPr>
        <w:b/>
      </w:rPr>
      <w:t>FEDERAL</w:t>
    </w:r>
  </w:p>
  <w:p w:rsidR="00C64700" w:rsidRDefault="00C64700" w:rsidP="00981B9F">
    <w:pPr>
      <w:pStyle w:val="Cabealho"/>
    </w:pPr>
    <w:r w:rsidRPr="00810853">
      <w:rPr>
        <w:b/>
        <w:sz w:val="20"/>
        <w:szCs w:val="20"/>
      </w:rPr>
      <w:t>Gab.</w:t>
    </w:r>
    <w:r w:rsidRPr="00810853">
      <w:rPr>
        <w:b/>
      </w:rPr>
      <w:t xml:space="preserve"> </w:t>
    </w:r>
    <w:r w:rsidRPr="00810853">
      <w:rPr>
        <w:b/>
        <w:sz w:val="20"/>
        <w:szCs w:val="20"/>
      </w:rPr>
      <w:t>Senador</w:t>
    </w:r>
    <w:r>
      <w:t xml:space="preserve"> </w:t>
    </w:r>
    <w:r w:rsidRPr="00810853">
      <w:rPr>
        <w:b/>
        <w:sz w:val="20"/>
      </w:rPr>
      <w:t>WELLINGTON FAGUNDES</w:t>
    </w:r>
  </w:p>
  <w:p w:rsidR="00C64700" w:rsidRDefault="00C647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C2B3D"/>
    <w:multiLevelType w:val="hybridMultilevel"/>
    <w:tmpl w:val="AD2E64DC"/>
    <w:lvl w:ilvl="0" w:tplc="1A14DF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1C"/>
    <w:rsid w:val="00033C88"/>
    <w:rsid w:val="00050CC9"/>
    <w:rsid w:val="00052E9F"/>
    <w:rsid w:val="00073401"/>
    <w:rsid w:val="000C3080"/>
    <w:rsid w:val="000E1BB8"/>
    <w:rsid w:val="000E38AB"/>
    <w:rsid w:val="001226E2"/>
    <w:rsid w:val="00142C12"/>
    <w:rsid w:val="001B1FEE"/>
    <w:rsid w:val="001E0AE4"/>
    <w:rsid w:val="00225163"/>
    <w:rsid w:val="00237A4E"/>
    <w:rsid w:val="00252670"/>
    <w:rsid w:val="00264B78"/>
    <w:rsid w:val="002668A2"/>
    <w:rsid w:val="00284144"/>
    <w:rsid w:val="002A46B3"/>
    <w:rsid w:val="002D28D0"/>
    <w:rsid w:val="00383A39"/>
    <w:rsid w:val="003975B2"/>
    <w:rsid w:val="003A34EF"/>
    <w:rsid w:val="003B6021"/>
    <w:rsid w:val="003C7469"/>
    <w:rsid w:val="00444611"/>
    <w:rsid w:val="00452AAD"/>
    <w:rsid w:val="004668BD"/>
    <w:rsid w:val="004C7F08"/>
    <w:rsid w:val="004D24C1"/>
    <w:rsid w:val="004D4BD8"/>
    <w:rsid w:val="004E3111"/>
    <w:rsid w:val="00550900"/>
    <w:rsid w:val="005611A1"/>
    <w:rsid w:val="00572A1F"/>
    <w:rsid w:val="005B3AE9"/>
    <w:rsid w:val="005D085F"/>
    <w:rsid w:val="005D2DFA"/>
    <w:rsid w:val="00602FA2"/>
    <w:rsid w:val="00622D1F"/>
    <w:rsid w:val="00630EA2"/>
    <w:rsid w:val="00632B6E"/>
    <w:rsid w:val="00660FDC"/>
    <w:rsid w:val="0066471C"/>
    <w:rsid w:val="0068246F"/>
    <w:rsid w:val="006A15F7"/>
    <w:rsid w:val="006C2684"/>
    <w:rsid w:val="006C614F"/>
    <w:rsid w:val="00700011"/>
    <w:rsid w:val="00714F3D"/>
    <w:rsid w:val="00725E8A"/>
    <w:rsid w:val="00743715"/>
    <w:rsid w:val="007615E6"/>
    <w:rsid w:val="007733E3"/>
    <w:rsid w:val="007A6712"/>
    <w:rsid w:val="007C3EA2"/>
    <w:rsid w:val="008012D6"/>
    <w:rsid w:val="008102BB"/>
    <w:rsid w:val="00854D37"/>
    <w:rsid w:val="00855D9B"/>
    <w:rsid w:val="00863912"/>
    <w:rsid w:val="008A3C0F"/>
    <w:rsid w:val="008A6474"/>
    <w:rsid w:val="008F4F81"/>
    <w:rsid w:val="0092738D"/>
    <w:rsid w:val="00954651"/>
    <w:rsid w:val="009714B3"/>
    <w:rsid w:val="00981B9F"/>
    <w:rsid w:val="00985F7B"/>
    <w:rsid w:val="009A3CAD"/>
    <w:rsid w:val="009A7EF4"/>
    <w:rsid w:val="009D4BB0"/>
    <w:rsid w:val="00A063E1"/>
    <w:rsid w:val="00A0736D"/>
    <w:rsid w:val="00A122ED"/>
    <w:rsid w:val="00A36504"/>
    <w:rsid w:val="00A63823"/>
    <w:rsid w:val="00A85F8C"/>
    <w:rsid w:val="00AA5D5B"/>
    <w:rsid w:val="00AB4548"/>
    <w:rsid w:val="00AF3FE4"/>
    <w:rsid w:val="00B00E5C"/>
    <w:rsid w:val="00B31912"/>
    <w:rsid w:val="00B45207"/>
    <w:rsid w:val="00B60F51"/>
    <w:rsid w:val="00B716C9"/>
    <w:rsid w:val="00B76B9C"/>
    <w:rsid w:val="00B94D54"/>
    <w:rsid w:val="00BE1BE2"/>
    <w:rsid w:val="00BE38C7"/>
    <w:rsid w:val="00BF0982"/>
    <w:rsid w:val="00C067A3"/>
    <w:rsid w:val="00C31EBC"/>
    <w:rsid w:val="00C5288E"/>
    <w:rsid w:val="00C64700"/>
    <w:rsid w:val="00C71E31"/>
    <w:rsid w:val="00C8564C"/>
    <w:rsid w:val="00C877CC"/>
    <w:rsid w:val="00C9163A"/>
    <w:rsid w:val="00CB52C1"/>
    <w:rsid w:val="00CB7149"/>
    <w:rsid w:val="00CF08EF"/>
    <w:rsid w:val="00CF3268"/>
    <w:rsid w:val="00CF4648"/>
    <w:rsid w:val="00D0154B"/>
    <w:rsid w:val="00D40EB9"/>
    <w:rsid w:val="00D46AF7"/>
    <w:rsid w:val="00D5029E"/>
    <w:rsid w:val="00D843B3"/>
    <w:rsid w:val="00DA72F2"/>
    <w:rsid w:val="00E12908"/>
    <w:rsid w:val="00E22B8A"/>
    <w:rsid w:val="00E27D50"/>
    <w:rsid w:val="00E335DE"/>
    <w:rsid w:val="00E35A6A"/>
    <w:rsid w:val="00E46A73"/>
    <w:rsid w:val="00EA011D"/>
    <w:rsid w:val="00EC62B7"/>
    <w:rsid w:val="00EE0C5E"/>
    <w:rsid w:val="00EF12F9"/>
    <w:rsid w:val="00F06C5B"/>
    <w:rsid w:val="00F2793A"/>
    <w:rsid w:val="00F30C70"/>
    <w:rsid w:val="00F352EF"/>
    <w:rsid w:val="00F461C1"/>
    <w:rsid w:val="00F56BB9"/>
    <w:rsid w:val="00F57744"/>
    <w:rsid w:val="00F90908"/>
    <w:rsid w:val="00FA4691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573BD11-5FD7-4A80-954A-DC3C73F4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1C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71C"/>
  </w:style>
  <w:style w:type="paragraph" w:styleId="Rodap">
    <w:name w:val="footer"/>
    <w:basedOn w:val="Normal"/>
    <w:link w:val="RodapChar"/>
    <w:uiPriority w:val="99"/>
    <w:unhideWhenUsed/>
    <w:rsid w:val="0066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71C"/>
  </w:style>
  <w:style w:type="paragraph" w:styleId="NormalWeb">
    <w:name w:val="Normal (Web)"/>
    <w:basedOn w:val="Normal"/>
    <w:uiPriority w:val="99"/>
    <w:unhideWhenUsed/>
    <w:rsid w:val="0066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71C"/>
    <w:rPr>
      <w:rFonts w:ascii="Tahoma" w:hAnsi="Tahoma" w:cs="Tahoma"/>
      <w:sz w:val="16"/>
      <w:szCs w:val="16"/>
    </w:rPr>
  </w:style>
  <w:style w:type="paragraph" w:customStyle="1" w:styleId="02-TtuloPrincipal-CLG">
    <w:name w:val="02 - Título Principal - CLG"/>
    <w:link w:val="02-TtuloPrincipal-CLGChar"/>
    <w:rsid w:val="00F461C1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F461C1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F461C1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F461C1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F461C1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F461C1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paragraph" w:customStyle="1" w:styleId="10-Local-CLG">
    <w:name w:val="10 - Local - CLG"/>
    <w:link w:val="10-Local-CLGChar"/>
    <w:rsid w:val="00F461C1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F461C1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F461C1"/>
    <w:rPr>
      <w:rFonts w:ascii="Times New Roman" w:eastAsia="Times New Roman" w:hAnsi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F461C1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F461C1"/>
    <w:rPr>
      <w:rFonts w:ascii="Times New Roman" w:eastAsia="Times New Roman" w:hAnsi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F461C1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F461C1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F461C1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9-Ttuloemenda-CLG">
    <w:name w:val="09 - Título emenda - CLG"/>
    <w:rsid w:val="00F461C1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customStyle="1" w:styleId="Ttacordo">
    <w:name w:val="Tít. acordo$"/>
    <w:rsid w:val="00F461C1"/>
    <w:pPr>
      <w:widowControl w:val="0"/>
      <w:spacing w:after="240"/>
      <w:jc w:val="center"/>
    </w:pPr>
    <w:rPr>
      <w:rFonts w:ascii="Arial" w:eastAsia="Times New Roman" w:hAnsi="Arial"/>
      <w:b/>
      <w:sz w:val="28"/>
    </w:rPr>
  </w:style>
  <w:style w:type="character" w:customStyle="1" w:styleId="apple-converted-space">
    <w:name w:val="apple-converted-space"/>
    <w:basedOn w:val="Fontepargpadro"/>
    <w:rsid w:val="00F461C1"/>
  </w:style>
  <w:style w:type="paragraph" w:customStyle="1" w:styleId="Recuodecorpodetexto21">
    <w:name w:val="Recuo de corpo de texto 21"/>
    <w:basedOn w:val="Normal"/>
    <w:rsid w:val="00C71E31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01-Minuta-CLG">
    <w:name w:val="01 - Minuta - CLG"/>
    <w:link w:val="01-Minuta-CLGChar"/>
    <w:rsid w:val="00C71E31"/>
    <w:pPr>
      <w:spacing w:after="180"/>
      <w:jc w:val="center"/>
    </w:pPr>
    <w:rPr>
      <w:rFonts w:ascii="Times New Roman" w:eastAsia="Times New Roman" w:hAnsi="Times New Roman"/>
      <w:sz w:val="24"/>
    </w:rPr>
  </w:style>
  <w:style w:type="character" w:customStyle="1" w:styleId="01-Minuta-CLGChar">
    <w:name w:val="01 - Minuta - CLG Char"/>
    <w:link w:val="01-Minuta-CLG"/>
    <w:rsid w:val="00C71E3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61F4E6-473B-4284-958A-290F4FAE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roseanes</dc:creator>
  <cp:lastModifiedBy>Maria José Gomes Mello Ribeiro</cp:lastModifiedBy>
  <cp:revision>2</cp:revision>
  <cp:lastPrinted>2016-03-30T18:40:00Z</cp:lastPrinted>
  <dcterms:created xsi:type="dcterms:W3CDTF">2016-04-13T11:34:00Z</dcterms:created>
  <dcterms:modified xsi:type="dcterms:W3CDTF">2016-04-13T11:34:00Z</dcterms:modified>
</cp:coreProperties>
</file>