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CB" w:rsidRDefault="00B060CB" w:rsidP="00AD78DF">
      <w:pPr>
        <w:pStyle w:val="01-Minuta-CLG"/>
      </w:pPr>
    </w:p>
    <w:p w:rsidR="00AD78DF" w:rsidRDefault="00597442" w:rsidP="00AD78DF">
      <w:pPr>
        <w:pStyle w:val="02-TtuloPrincipal-CLG"/>
      </w:pPr>
      <w:bookmarkStart w:id="0" w:name="_GoBack"/>
      <w:bookmarkEnd w:id="0"/>
      <w:r>
        <w:t>PARECER Nº       , DE 2015</w:t>
      </w:r>
    </w:p>
    <w:p w:rsidR="00AD78DF" w:rsidRDefault="00D17B8A" w:rsidP="004B1297">
      <w:pPr>
        <w:pStyle w:val="03-Ementa-CLG"/>
      </w:pPr>
      <w:bookmarkStart w:id="1" w:name="nome_comissao"/>
      <w:bookmarkStart w:id="2" w:name="sigla_comissao"/>
      <w:r>
        <w:t>Da</w:t>
      </w:r>
      <w:r w:rsidR="00AD78DF">
        <w:t xml:space="preserve"> COMISSÃO</w:t>
      </w:r>
      <w:bookmarkEnd w:id="1"/>
      <w:bookmarkEnd w:id="2"/>
      <w:r w:rsidR="002A2ACB">
        <w:t xml:space="preserve"> </w:t>
      </w:r>
      <w:r w:rsidR="00AD78DF">
        <w:t xml:space="preserve">DE </w:t>
      </w:r>
      <w:r w:rsidR="00774DB7">
        <w:t>ASSUNTOS SOCIAIS</w:t>
      </w:r>
      <w:r w:rsidR="00AC161A">
        <w:t xml:space="preserve">, </w:t>
      </w:r>
      <w:r w:rsidR="00AD78DF">
        <w:t>sobre</w:t>
      </w:r>
      <w:r w:rsidR="002A2ACB">
        <w:t xml:space="preserve"> o </w:t>
      </w:r>
      <w:r w:rsidR="007A6381">
        <w:t>Projeto de Lei d</w:t>
      </w:r>
      <w:r w:rsidR="004B1297">
        <w:t>a</w:t>
      </w:r>
      <w:r w:rsidR="007A6381">
        <w:t xml:space="preserve"> </w:t>
      </w:r>
      <w:r w:rsidR="004B1297">
        <w:t>Câmara</w:t>
      </w:r>
      <w:r w:rsidR="007A6381">
        <w:t xml:space="preserve"> (</w:t>
      </w:r>
      <w:r w:rsidR="002A2ACB">
        <w:t>PL</w:t>
      </w:r>
      <w:r w:rsidR="004B1297">
        <w:t>C</w:t>
      </w:r>
      <w:r w:rsidR="007A6381">
        <w:t>)</w:t>
      </w:r>
      <w:r w:rsidR="002A2ACB">
        <w:t xml:space="preserve"> nº </w:t>
      </w:r>
      <w:r w:rsidR="004B1297">
        <w:t>121</w:t>
      </w:r>
      <w:r w:rsidR="002A2ACB">
        <w:t>, de 201</w:t>
      </w:r>
      <w:r w:rsidR="004B1297">
        <w:t>5</w:t>
      </w:r>
      <w:r w:rsidR="004F59C7">
        <w:t xml:space="preserve"> (Projeto de Lei nº 5.635, de 2015, na origem)</w:t>
      </w:r>
      <w:r w:rsidR="002A2ACB">
        <w:t xml:space="preserve">, </w:t>
      </w:r>
      <w:r w:rsidR="007A6381">
        <w:t>d</w:t>
      </w:r>
      <w:r w:rsidR="00A83149">
        <w:t>o</w:t>
      </w:r>
      <w:r w:rsidR="007A6381">
        <w:t xml:space="preserve"> </w:t>
      </w:r>
      <w:r w:rsidR="00A83149">
        <w:t>Deputado</w:t>
      </w:r>
      <w:r w:rsidR="00B35A9E">
        <w:t xml:space="preserve"> </w:t>
      </w:r>
      <w:r w:rsidR="004B1297">
        <w:t>Onyx Lorenzoni</w:t>
      </w:r>
      <w:r w:rsidR="007A6381">
        <w:t xml:space="preserve">, </w:t>
      </w:r>
      <w:r w:rsidR="002A2ACB">
        <w:t>que</w:t>
      </w:r>
      <w:r w:rsidR="004B1297">
        <w:t xml:space="preserve"> </w:t>
      </w:r>
      <w:r w:rsidR="00A83149" w:rsidRPr="004F59C7">
        <w:rPr>
          <w:i/>
        </w:rPr>
        <w:t>r</w:t>
      </w:r>
      <w:r w:rsidR="004B1297" w:rsidRPr="004F59C7">
        <w:rPr>
          <w:i/>
        </w:rPr>
        <w:t>egulamenta a profissão de protesista/ortesista ortopédico</w:t>
      </w:r>
      <w:r w:rsidR="004B1297" w:rsidRPr="004B1297">
        <w:t>.</w:t>
      </w:r>
      <w:r w:rsidR="00AD78DF">
        <w:t xml:space="preserve"> </w:t>
      </w:r>
    </w:p>
    <w:p w:rsidR="00AD78DF" w:rsidRPr="00B060CB" w:rsidRDefault="00AD78DF" w:rsidP="00AD78DF">
      <w:pPr>
        <w:pStyle w:val="04-Relatoria-CLG"/>
        <w:rPr>
          <w:b/>
        </w:rPr>
      </w:pPr>
      <w:r>
        <w:t xml:space="preserve">RELATOR: Senador </w:t>
      </w:r>
      <w:r w:rsidR="004B1297">
        <w:rPr>
          <w:b/>
        </w:rPr>
        <w:t>OTTO ALENCAR</w:t>
      </w:r>
    </w:p>
    <w:p w:rsidR="00AD78DF" w:rsidRDefault="00AD78DF" w:rsidP="00AD78DF">
      <w:pPr>
        <w:pStyle w:val="05-Subttulo-CLG"/>
      </w:pPr>
      <w:r>
        <w:t>I – RELATÓRIO</w:t>
      </w:r>
    </w:p>
    <w:p w:rsidR="00AD78DF" w:rsidRDefault="00D13817" w:rsidP="00AD78DF">
      <w:pPr>
        <w:pStyle w:val="06-Pargrafodetexto-CLG"/>
      </w:pPr>
      <w:r>
        <w:t>Trata-se do</w:t>
      </w:r>
      <w:r w:rsidR="004B1297">
        <w:t xml:space="preserve"> Projeto de Lei da Câmara (PLC) nº 121, de 2015, d</w:t>
      </w:r>
      <w:r w:rsidR="00872338">
        <w:t>o</w:t>
      </w:r>
      <w:r w:rsidR="004B1297">
        <w:t xml:space="preserve"> </w:t>
      </w:r>
      <w:r w:rsidR="00872338">
        <w:t>Deputado</w:t>
      </w:r>
      <w:r w:rsidR="004B1297">
        <w:t xml:space="preserve"> Onyx Lorenzoni, que </w:t>
      </w:r>
      <w:r w:rsidR="00A83149">
        <w:t>r</w:t>
      </w:r>
      <w:r w:rsidR="004B1297" w:rsidRPr="004B1297">
        <w:rPr>
          <w:rFonts w:eastAsia="Arial Unicode MS"/>
        </w:rPr>
        <w:t>egulamenta a profissão de</w:t>
      </w:r>
      <w:r w:rsidR="004B1297">
        <w:t xml:space="preserve"> </w:t>
      </w:r>
      <w:r w:rsidR="004B1297" w:rsidRPr="004B1297">
        <w:t>protesista</w:t>
      </w:r>
      <w:r w:rsidR="00F64DF8">
        <w:t xml:space="preserve"> e </w:t>
      </w:r>
      <w:r w:rsidR="004B1297" w:rsidRPr="004B1297">
        <w:t>ortesista ortopédico</w:t>
      </w:r>
      <w:r w:rsidR="003D0443" w:rsidRPr="00AC161A">
        <w:t>.</w:t>
      </w:r>
    </w:p>
    <w:p w:rsidR="00B35A9E" w:rsidRDefault="00872338" w:rsidP="00AD78DF">
      <w:pPr>
        <w:pStyle w:val="06-Pargrafodetexto-CLG"/>
      </w:pPr>
      <w:r>
        <w:t>O</w:t>
      </w:r>
      <w:r w:rsidR="00B35A9E">
        <w:t xml:space="preserve"> autor justifica a proposição na necessidade de se </w:t>
      </w:r>
      <w:r>
        <w:t>garantir a entrada de profissionais qualificados no mercado de trabalho</w:t>
      </w:r>
      <w:r w:rsidR="00B35A9E">
        <w:t>.</w:t>
      </w:r>
    </w:p>
    <w:p w:rsidR="00A83149" w:rsidRDefault="00A83149" w:rsidP="00AD78DF">
      <w:pPr>
        <w:pStyle w:val="06-Pargrafodetexto-CLG"/>
      </w:pPr>
      <w:r>
        <w:t>Nos arts. 1º a 3º da proposição</w:t>
      </w:r>
      <w:r w:rsidR="00095FEB">
        <w:t>,</w:t>
      </w:r>
      <w:r>
        <w:t xml:space="preserve"> há a definição do que </w:t>
      </w:r>
      <w:r w:rsidR="00F64DF8">
        <w:t xml:space="preserve">vêm </w:t>
      </w:r>
      <w:r>
        <w:t>a ser os profissionais ortesistas e protesistas</w:t>
      </w:r>
      <w:r w:rsidR="00F64DF8">
        <w:t xml:space="preserve">: </w:t>
      </w:r>
      <w:r>
        <w:t>aqueles responsáveis pela tomada de medidas e confecção do mencionados dispositivos. Exige-se dos trabalhadores em comento formação técnica para o desempenho das atividades em testilha ou comprovado exercício d</w:t>
      </w:r>
      <w:r w:rsidR="00095FEB">
        <w:t>elas</w:t>
      </w:r>
      <w:r>
        <w:t xml:space="preserve"> por mais de cinco anos.</w:t>
      </w:r>
    </w:p>
    <w:p w:rsidR="00A83149" w:rsidRDefault="00A83149" w:rsidP="00AD78DF">
      <w:pPr>
        <w:pStyle w:val="06-Pargrafodetexto-CLG"/>
      </w:pPr>
      <w:r>
        <w:t>No art. 4º, delimitam-se as atribuições dos ortesistas e protesistas, limitando-as à tomada de medida, à confecção dos mencionados aparelhos, assim como à orientação acerca do seu uso correto.</w:t>
      </w:r>
    </w:p>
    <w:p w:rsidR="00A83149" w:rsidRDefault="00A83149" w:rsidP="00AD78DF">
      <w:pPr>
        <w:pStyle w:val="06-Pargrafodetexto-CLG"/>
      </w:pPr>
      <w:r>
        <w:t xml:space="preserve">No art. 5º, determina-se que a expressão </w:t>
      </w:r>
      <w:r w:rsidR="00141F7A">
        <w:t>“</w:t>
      </w:r>
      <w:r w:rsidR="00B41C47">
        <w:t>pro</w:t>
      </w:r>
      <w:r>
        <w:t>tesista/o</w:t>
      </w:r>
      <w:r w:rsidR="00B41C47">
        <w:t>r</w:t>
      </w:r>
      <w:r>
        <w:t>tesista ortopédico</w:t>
      </w:r>
      <w:r w:rsidR="00141F7A">
        <w:t>”</w:t>
      </w:r>
      <w:r>
        <w:t xml:space="preserve"> somente poderá ser utilizada por consultórios que tenham, no seu quadro de pessoal, profissionais </w:t>
      </w:r>
      <w:r w:rsidR="00DB1291">
        <w:t>titulares</w:t>
      </w:r>
      <w:r>
        <w:t xml:space="preserve"> da formaç</w:t>
      </w:r>
      <w:r w:rsidR="00DB1291">
        <w:t>ão técnica de que tratam os arts. 1º a 3º da proposição.</w:t>
      </w:r>
    </w:p>
    <w:p w:rsidR="00DB1291" w:rsidRDefault="00DB1291" w:rsidP="00AD78DF">
      <w:pPr>
        <w:pStyle w:val="06-Pargrafodetexto-CLG"/>
      </w:pPr>
      <w:r>
        <w:lastRenderedPageBreak/>
        <w:t xml:space="preserve">O art. 6º, por sua vez, </w:t>
      </w:r>
      <w:r w:rsidR="00095FEB">
        <w:t>dispõe</w:t>
      </w:r>
      <w:r>
        <w:t xml:space="preserve"> que o PLC nº 121, de 2015, se convertido em lei, entrará em vigor na data da sua publicação.</w:t>
      </w:r>
    </w:p>
    <w:p w:rsidR="00726AE4" w:rsidRDefault="00726AE4" w:rsidP="00AD78DF">
      <w:pPr>
        <w:pStyle w:val="06-Pargrafodetexto-CLG"/>
      </w:pPr>
      <w:r>
        <w:t xml:space="preserve">A proposição foi distribuída </w:t>
      </w:r>
      <w:r w:rsidR="00F02305">
        <w:t>a esta</w:t>
      </w:r>
      <w:r>
        <w:t xml:space="preserve"> Comissão de Assuntos Sociais (CAS).</w:t>
      </w:r>
    </w:p>
    <w:p w:rsidR="003D0443" w:rsidRDefault="00B30B1A" w:rsidP="00AD78DF">
      <w:pPr>
        <w:pStyle w:val="06-Pargrafodetexto-CLG"/>
      </w:pPr>
      <w:r>
        <w:t>N</w:t>
      </w:r>
      <w:r w:rsidR="002F3850">
        <w:t>ão houve</w:t>
      </w:r>
      <w:r>
        <w:t>, até o momento,</w:t>
      </w:r>
      <w:r w:rsidR="002F3850">
        <w:t xml:space="preserve"> a apresentação de emendas</w:t>
      </w:r>
      <w:r w:rsidR="003D0443">
        <w:t>.</w:t>
      </w:r>
    </w:p>
    <w:p w:rsidR="00AD78DF" w:rsidRPr="005523B9" w:rsidRDefault="00AD78DF" w:rsidP="00AD78DF">
      <w:pPr>
        <w:pStyle w:val="05-Subttulo-CLG"/>
      </w:pPr>
      <w:r w:rsidRPr="005523B9">
        <w:t>II – ANÁLISE</w:t>
      </w:r>
    </w:p>
    <w:p w:rsidR="00551EC3" w:rsidRDefault="00297A60" w:rsidP="00551EC3">
      <w:pPr>
        <w:pStyle w:val="06-Pargrafodetexto-CLG"/>
      </w:pPr>
      <w:r>
        <w:t>N</w:t>
      </w:r>
      <w:r w:rsidR="00551EC3">
        <w:t>os termos do art. 22, I,</w:t>
      </w:r>
      <w:r w:rsidR="00D742A6">
        <w:t xml:space="preserve"> </w:t>
      </w:r>
      <w:r w:rsidR="00551EC3">
        <w:t>da Constituição Federal</w:t>
      </w:r>
      <w:r>
        <w:t>, incumbe à União leg</w:t>
      </w:r>
      <w:r w:rsidR="00D742A6">
        <w:t xml:space="preserve">islar sobre direito do trabalho, motivo pelo qual ao mencionado ente federado é atribuída a prerrogativa de disciplinar </w:t>
      </w:r>
      <w:r w:rsidR="00600420">
        <w:t>a</w:t>
      </w:r>
      <w:r w:rsidR="00D742A6">
        <w:t xml:space="preserve"> matéria</w:t>
      </w:r>
      <w:r w:rsidR="00872338">
        <w:t xml:space="preserve"> objeto do PLC</w:t>
      </w:r>
      <w:r w:rsidR="00600420">
        <w:t xml:space="preserve"> nº </w:t>
      </w:r>
      <w:r w:rsidR="00872338">
        <w:t>121</w:t>
      </w:r>
      <w:r w:rsidR="00600420">
        <w:t>, de 201</w:t>
      </w:r>
      <w:r w:rsidR="00872338">
        <w:t>5</w:t>
      </w:r>
      <w:r w:rsidR="00D742A6">
        <w:t>.</w:t>
      </w:r>
    </w:p>
    <w:p w:rsidR="00551EC3" w:rsidRDefault="00551EC3" w:rsidP="00551EC3">
      <w:pPr>
        <w:pStyle w:val="06-Pargrafodetexto-CLG"/>
      </w:pPr>
      <w:r>
        <w:t>Além disso, não</w:t>
      </w:r>
      <w:r w:rsidR="00136DF1">
        <w:t xml:space="preserve"> se</w:t>
      </w:r>
      <w:r>
        <w:t xml:space="preserve"> trata de </w:t>
      </w:r>
      <w:r w:rsidR="00AC161A">
        <w:t>questão</w:t>
      </w:r>
      <w:r>
        <w:t xml:space="preserve"> cuja iniciativa </w:t>
      </w:r>
      <w:r w:rsidR="00A84E97">
        <w:t>seja</w:t>
      </w:r>
      <w:r>
        <w:t xml:space="preserve"> reservada ao Presidente da República, aos Tribunais Superiores ou ao Procurador-Geral da República, </w:t>
      </w:r>
      <w:r w:rsidR="00297A60">
        <w:t xml:space="preserve">motivo pelo qual aos parlamentares, nos termos do art. 48 da Constituição Federal, é franqueado iniciar o processo legislativo sobre </w:t>
      </w:r>
      <w:r w:rsidR="00136DF1">
        <w:t>elas</w:t>
      </w:r>
      <w:r>
        <w:t>.</w:t>
      </w:r>
    </w:p>
    <w:p w:rsidR="00551EC3" w:rsidRDefault="00F02305" w:rsidP="00551EC3">
      <w:pPr>
        <w:pStyle w:val="06-Pargrafodetexto-CLG"/>
      </w:pPr>
      <w:r>
        <w:t>Adequada a atribuição da matéria à</w:t>
      </w:r>
      <w:r w:rsidR="00551EC3">
        <w:t xml:space="preserve"> C</w:t>
      </w:r>
      <w:r w:rsidR="00297A60">
        <w:t>AS</w:t>
      </w:r>
      <w:r>
        <w:t>,</w:t>
      </w:r>
      <w:r w:rsidR="00551EC3">
        <w:t xml:space="preserve"> </w:t>
      </w:r>
      <w:r>
        <w:t>uma vez que</w:t>
      </w:r>
      <w:r w:rsidR="00297A60">
        <w:t xml:space="preserve"> o art. 100</w:t>
      </w:r>
      <w:r w:rsidR="00551EC3">
        <w:t>, I, do Regimento Interno do Senado Federa</w:t>
      </w:r>
      <w:r w:rsidR="00D742A6">
        <w:t xml:space="preserve">l (RISF) a ela confere a </w:t>
      </w:r>
      <w:r>
        <w:t>competência para apreciação das matérias atinentes ao Direito do Trabalho</w:t>
      </w:r>
      <w:r w:rsidR="00AC161A">
        <w:t>.</w:t>
      </w:r>
    </w:p>
    <w:p w:rsidR="00551EC3" w:rsidRDefault="00551EC3" w:rsidP="00551EC3">
      <w:pPr>
        <w:pStyle w:val="06-Pargrafodetexto-CLG"/>
      </w:pPr>
      <w:r>
        <w:t xml:space="preserve">Ressalte-se, ainda, que não se trata de </w:t>
      </w:r>
      <w:r w:rsidR="00603C79">
        <w:t>tema</w:t>
      </w:r>
      <w:r>
        <w:t xml:space="preserve"> cuja disciplina exija a aprovação de lei complementar, motivo pelo qual a lei ordinária </w:t>
      </w:r>
      <w:r w:rsidR="00774DB7">
        <w:t>é o ins</w:t>
      </w:r>
      <w:r w:rsidR="00603C79">
        <w:t>trumento apto à inserção dele</w:t>
      </w:r>
      <w:r w:rsidR="00774DB7">
        <w:t xml:space="preserve"> no ordenamento jurídico nacional</w:t>
      </w:r>
      <w:r>
        <w:t>.</w:t>
      </w:r>
    </w:p>
    <w:p w:rsidR="00551EC3" w:rsidRDefault="00551EC3" w:rsidP="00551EC3">
      <w:pPr>
        <w:pStyle w:val="06-Pargrafodetexto-CLG"/>
      </w:pPr>
      <w:r>
        <w:t xml:space="preserve">No mérito, </w:t>
      </w:r>
      <w:r w:rsidR="00D742A6">
        <w:t xml:space="preserve">a proposição </w:t>
      </w:r>
      <w:r w:rsidR="00872338">
        <w:t>representa um avanço na proteção das pessoas que necessitam de órteses e próteses</w:t>
      </w:r>
      <w:r w:rsidR="00D742A6">
        <w:t>.</w:t>
      </w:r>
    </w:p>
    <w:p w:rsidR="00872338" w:rsidRDefault="00872338" w:rsidP="00551EC3">
      <w:pPr>
        <w:pStyle w:val="06-Pargrafodetexto-CLG"/>
      </w:pPr>
      <w:r>
        <w:t xml:space="preserve">Isso porque é sabido que confecção dos mencionados dispositivos (o primeiro de apoio à função neuromusculoesquelética do corpo e o segundo de substituição de partes do corpo humano) </w:t>
      </w:r>
      <w:r w:rsidR="00095FEB">
        <w:t>não dispensa</w:t>
      </w:r>
      <w:r>
        <w:t xml:space="preserve"> os conhecimentos técnicos daquele que os cria.</w:t>
      </w:r>
    </w:p>
    <w:p w:rsidR="00872338" w:rsidRDefault="00872338" w:rsidP="00551EC3">
      <w:pPr>
        <w:pStyle w:val="06-Pargrafodetexto-CLG"/>
      </w:pPr>
      <w:r>
        <w:t xml:space="preserve">Do contrário, a saúde dos usuários fica comprometida pela utilização de órteses e próteses inadequadas para os fins a que se destinam. </w:t>
      </w:r>
    </w:p>
    <w:p w:rsidR="00872338" w:rsidRDefault="00872338" w:rsidP="00551EC3">
      <w:pPr>
        <w:pStyle w:val="06-Pargrafodetexto-CLG"/>
      </w:pPr>
      <w:r>
        <w:lastRenderedPageBreak/>
        <w:t xml:space="preserve">Por isso, exigir, nos termos dos arts. </w:t>
      </w:r>
      <w:r w:rsidR="00095FEB">
        <w:t>1º, 2º</w:t>
      </w:r>
      <w:r>
        <w:t xml:space="preserve"> e 3º da proposição, que o </w:t>
      </w:r>
      <w:r w:rsidR="00B41C47">
        <w:t xml:space="preserve">protesista e </w:t>
      </w:r>
      <w:r>
        <w:t>ortesista tenha cursos de formação técnica de nível médio adequado para o desempenho das respectivas funções (ou permitir o citado desempenho àqueles que, comprovadamente, tenham mais de sessenta meses de trabalho nas mencionadas atividades) é medida indispensável para a preservação do bem-estar dos usuários dos dispositivos em comento.</w:t>
      </w:r>
    </w:p>
    <w:p w:rsidR="00872338" w:rsidRDefault="00872338" w:rsidP="00551EC3">
      <w:pPr>
        <w:pStyle w:val="06-Pargrafodetexto-CLG"/>
      </w:pPr>
      <w:r>
        <w:t>Além disso,</w:t>
      </w:r>
      <w:r w:rsidR="00A83149">
        <w:t xml:space="preserve"> há a correta delimitação da atividade dos mencionados profissionais, que se </w:t>
      </w:r>
      <w:r w:rsidR="00095FEB">
        <w:t>restringem</w:t>
      </w:r>
      <w:r w:rsidR="00A83149">
        <w:t xml:space="preserve"> à confecção dos aludidos dispositivos e à orientação de seu uso correto, sem que haja a invasão da área de atuação de outros profissionais, como médicos e fisioterapeutas, por exemplo (art. 4º do PLC nº 121, de 2015).</w:t>
      </w:r>
      <w:r>
        <w:t xml:space="preserve"> </w:t>
      </w:r>
    </w:p>
    <w:p w:rsidR="00A83149" w:rsidRDefault="00A83149" w:rsidP="00551EC3">
      <w:pPr>
        <w:pStyle w:val="06-Pargrafodetexto-CLG"/>
      </w:pPr>
      <w:r>
        <w:t>Assim, a aprovação do PLC nº 121, de 2015, é medida que se impõe.</w:t>
      </w:r>
    </w:p>
    <w:p w:rsidR="00AD78DF" w:rsidRDefault="00AD78DF" w:rsidP="00AD78DF">
      <w:pPr>
        <w:pStyle w:val="05-Subttulo-CLG"/>
      </w:pPr>
      <w:r>
        <w:t>III – VOTO</w:t>
      </w:r>
    </w:p>
    <w:p w:rsidR="00AD78DF" w:rsidRDefault="00C75801" w:rsidP="00AD78DF">
      <w:pPr>
        <w:pStyle w:val="06-Pargrafodetexto-CLG"/>
      </w:pPr>
      <w:r>
        <w:t>Ante o exposto</w:t>
      </w:r>
      <w:r w:rsidR="001854D2">
        <w:t>, vota-se pela aprov</w:t>
      </w:r>
      <w:r w:rsidR="00052393">
        <w:t>ação do</w:t>
      </w:r>
      <w:r w:rsidR="00F42304">
        <w:t xml:space="preserve"> </w:t>
      </w:r>
      <w:r w:rsidR="008D042A">
        <w:t>PL</w:t>
      </w:r>
      <w:r w:rsidR="00A83149">
        <w:t>C</w:t>
      </w:r>
      <w:r w:rsidR="004F5AD4">
        <w:t xml:space="preserve"> nº </w:t>
      </w:r>
      <w:r w:rsidR="00A83149">
        <w:t>121</w:t>
      </w:r>
      <w:r w:rsidR="008D042A">
        <w:t>, de 201</w:t>
      </w:r>
      <w:r w:rsidR="00A83149">
        <w:t>5.</w:t>
      </w:r>
    </w:p>
    <w:p w:rsidR="00AD78DF" w:rsidRDefault="00AD78DF" w:rsidP="00AD78DF">
      <w:pPr>
        <w:pStyle w:val="10-Local-CLG"/>
      </w:pPr>
      <w:r>
        <w:t>Sala da Comissão,</w:t>
      </w:r>
    </w:p>
    <w:p w:rsidR="00AD78DF" w:rsidRPr="00724990" w:rsidRDefault="00AD78DF" w:rsidP="00AD78DF">
      <w:pPr>
        <w:pStyle w:val="11-Assinaturas-CLG"/>
      </w:pPr>
      <w:r>
        <w:t>, Presidente</w:t>
      </w:r>
    </w:p>
    <w:p w:rsidR="00AD78DF" w:rsidRDefault="00AD78DF" w:rsidP="00AD78DF">
      <w:pPr>
        <w:pStyle w:val="11-Assinaturas-CLG"/>
      </w:pPr>
      <w:r>
        <w:t>, Relator</w:t>
      </w:r>
    </w:p>
    <w:p w:rsidR="00AD78DF" w:rsidRPr="00AD78DF" w:rsidRDefault="00AD78DF" w:rsidP="00AD78DF"/>
    <w:sectPr w:rsidR="00AD78DF" w:rsidRPr="00AD78DF" w:rsidSect="00AD78DF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12" w:rsidRDefault="00AC6112">
      <w:r>
        <w:separator/>
      </w:r>
    </w:p>
  </w:endnote>
  <w:endnote w:type="continuationSeparator" w:id="0">
    <w:p w:rsidR="00AC6112" w:rsidRDefault="00AC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8E" w:rsidRDefault="008171A8">
    <w:pPr>
      <w:pStyle w:val="Rodap"/>
      <w:rPr>
        <w:i/>
        <w:sz w:val="18"/>
      </w:rPr>
    </w:pPr>
    <w:r>
      <w:rPr>
        <w:i/>
        <w:sz w:val="18"/>
      </w:rPr>
      <w:t>mq2015-11270</w:t>
    </w:r>
    <w:r w:rsidR="001D2C8E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8E" w:rsidRPr="00342E7D" w:rsidRDefault="001D2C8E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12" w:rsidRDefault="00AC6112">
      <w:r>
        <w:separator/>
      </w:r>
    </w:p>
  </w:footnote>
  <w:footnote w:type="continuationSeparator" w:id="0">
    <w:p w:rsidR="00AC6112" w:rsidRDefault="00AC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8E" w:rsidRDefault="00CA2F5D" w:rsidP="00AD78D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2C8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2C8E" w:rsidRDefault="001D2C8E">
    <w:pPr>
      <w:pStyle w:val="Cabealho"/>
      <w:ind w:right="360"/>
    </w:pPr>
  </w:p>
  <w:p w:rsidR="001D2C8E" w:rsidRDefault="001D2C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8E" w:rsidRDefault="00CA2F5D" w:rsidP="00AD78D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2C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255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D2C8E" w:rsidRDefault="001D2C8E">
    <w:pPr>
      <w:pStyle w:val="Cabealho"/>
      <w:ind w:right="360"/>
    </w:pPr>
  </w:p>
  <w:p w:rsidR="001D2C8E" w:rsidRDefault="001D2C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DF"/>
    <w:rsid w:val="00003766"/>
    <w:rsid w:val="00052267"/>
    <w:rsid w:val="00052393"/>
    <w:rsid w:val="00063AAD"/>
    <w:rsid w:val="00063BDB"/>
    <w:rsid w:val="00095FEB"/>
    <w:rsid w:val="000A7394"/>
    <w:rsid w:val="000A7857"/>
    <w:rsid w:val="000B190B"/>
    <w:rsid w:val="000C054D"/>
    <w:rsid w:val="000C2C8F"/>
    <w:rsid w:val="00100E4B"/>
    <w:rsid w:val="00103766"/>
    <w:rsid w:val="0011725A"/>
    <w:rsid w:val="001218B8"/>
    <w:rsid w:val="00136DF1"/>
    <w:rsid w:val="001418F9"/>
    <w:rsid w:val="00141F7A"/>
    <w:rsid w:val="001534D6"/>
    <w:rsid w:val="001551AB"/>
    <w:rsid w:val="00161F72"/>
    <w:rsid w:val="001854D2"/>
    <w:rsid w:val="0018774E"/>
    <w:rsid w:val="001A6C48"/>
    <w:rsid w:val="001B234E"/>
    <w:rsid w:val="001B3489"/>
    <w:rsid w:val="001D2C8E"/>
    <w:rsid w:val="001D656C"/>
    <w:rsid w:val="001F1FCB"/>
    <w:rsid w:val="001F333B"/>
    <w:rsid w:val="00200C89"/>
    <w:rsid w:val="002648F7"/>
    <w:rsid w:val="00274527"/>
    <w:rsid w:val="00297A60"/>
    <w:rsid w:val="002A1E73"/>
    <w:rsid w:val="002A2ACB"/>
    <w:rsid w:val="002B65B2"/>
    <w:rsid w:val="002C11D1"/>
    <w:rsid w:val="002C3AA2"/>
    <w:rsid w:val="002D589F"/>
    <w:rsid w:val="002F1296"/>
    <w:rsid w:val="002F16B7"/>
    <w:rsid w:val="002F35F4"/>
    <w:rsid w:val="002F3850"/>
    <w:rsid w:val="00343F56"/>
    <w:rsid w:val="003444A4"/>
    <w:rsid w:val="003452D5"/>
    <w:rsid w:val="00347B5D"/>
    <w:rsid w:val="00351A51"/>
    <w:rsid w:val="00382167"/>
    <w:rsid w:val="0038427C"/>
    <w:rsid w:val="003D0443"/>
    <w:rsid w:val="003D5604"/>
    <w:rsid w:val="003E0065"/>
    <w:rsid w:val="003E3846"/>
    <w:rsid w:val="003F4D3D"/>
    <w:rsid w:val="00413AB0"/>
    <w:rsid w:val="00431831"/>
    <w:rsid w:val="004359EB"/>
    <w:rsid w:val="00442559"/>
    <w:rsid w:val="00487BB4"/>
    <w:rsid w:val="004962DA"/>
    <w:rsid w:val="004B1297"/>
    <w:rsid w:val="004B2126"/>
    <w:rsid w:val="004B6C78"/>
    <w:rsid w:val="004C2EA5"/>
    <w:rsid w:val="004C50B4"/>
    <w:rsid w:val="004C5E04"/>
    <w:rsid w:val="004D3547"/>
    <w:rsid w:val="004D5700"/>
    <w:rsid w:val="004E62A8"/>
    <w:rsid w:val="004F1E7C"/>
    <w:rsid w:val="004F59C7"/>
    <w:rsid w:val="004F5AD4"/>
    <w:rsid w:val="0050447A"/>
    <w:rsid w:val="00530D1A"/>
    <w:rsid w:val="00546BF7"/>
    <w:rsid w:val="00547533"/>
    <w:rsid w:val="00551EC3"/>
    <w:rsid w:val="005625C8"/>
    <w:rsid w:val="0056411F"/>
    <w:rsid w:val="005677A5"/>
    <w:rsid w:val="005739B4"/>
    <w:rsid w:val="00597442"/>
    <w:rsid w:val="005C55BC"/>
    <w:rsid w:val="005F4BAD"/>
    <w:rsid w:val="00600420"/>
    <w:rsid w:val="00603C79"/>
    <w:rsid w:val="0061131C"/>
    <w:rsid w:val="00614A0B"/>
    <w:rsid w:val="00623553"/>
    <w:rsid w:val="00655010"/>
    <w:rsid w:val="00664ECA"/>
    <w:rsid w:val="00665303"/>
    <w:rsid w:val="00665B67"/>
    <w:rsid w:val="006676DD"/>
    <w:rsid w:val="00684513"/>
    <w:rsid w:val="00685C40"/>
    <w:rsid w:val="006E7959"/>
    <w:rsid w:val="006F48E8"/>
    <w:rsid w:val="00704466"/>
    <w:rsid w:val="007221FF"/>
    <w:rsid w:val="00723C85"/>
    <w:rsid w:val="00726AE4"/>
    <w:rsid w:val="00774DB7"/>
    <w:rsid w:val="007A02A0"/>
    <w:rsid w:val="007A6381"/>
    <w:rsid w:val="007D01DD"/>
    <w:rsid w:val="007D3C29"/>
    <w:rsid w:val="007F3C88"/>
    <w:rsid w:val="00800AAC"/>
    <w:rsid w:val="00802BD5"/>
    <w:rsid w:val="00807791"/>
    <w:rsid w:val="00815487"/>
    <w:rsid w:val="008171A8"/>
    <w:rsid w:val="00817B29"/>
    <w:rsid w:val="0083582F"/>
    <w:rsid w:val="008460FD"/>
    <w:rsid w:val="00850A2F"/>
    <w:rsid w:val="00850C48"/>
    <w:rsid w:val="008602C5"/>
    <w:rsid w:val="00861511"/>
    <w:rsid w:val="00872338"/>
    <w:rsid w:val="0088375B"/>
    <w:rsid w:val="008C2F97"/>
    <w:rsid w:val="008D042A"/>
    <w:rsid w:val="008E1B32"/>
    <w:rsid w:val="008F1C03"/>
    <w:rsid w:val="009553AB"/>
    <w:rsid w:val="009C5081"/>
    <w:rsid w:val="009F485D"/>
    <w:rsid w:val="009F6240"/>
    <w:rsid w:val="00A012A9"/>
    <w:rsid w:val="00A218A3"/>
    <w:rsid w:val="00A331C4"/>
    <w:rsid w:val="00A362FF"/>
    <w:rsid w:val="00A50F06"/>
    <w:rsid w:val="00A61B1A"/>
    <w:rsid w:val="00A83149"/>
    <w:rsid w:val="00A84E97"/>
    <w:rsid w:val="00AA348E"/>
    <w:rsid w:val="00AB45A1"/>
    <w:rsid w:val="00AC161A"/>
    <w:rsid w:val="00AC6112"/>
    <w:rsid w:val="00AD5BB1"/>
    <w:rsid w:val="00AD78DF"/>
    <w:rsid w:val="00AD7B49"/>
    <w:rsid w:val="00AE229D"/>
    <w:rsid w:val="00AF7F33"/>
    <w:rsid w:val="00B060CB"/>
    <w:rsid w:val="00B15E2D"/>
    <w:rsid w:val="00B21268"/>
    <w:rsid w:val="00B216A3"/>
    <w:rsid w:val="00B30B1A"/>
    <w:rsid w:val="00B35A9E"/>
    <w:rsid w:val="00B41C47"/>
    <w:rsid w:val="00B675B9"/>
    <w:rsid w:val="00B70C74"/>
    <w:rsid w:val="00B92EAB"/>
    <w:rsid w:val="00B94090"/>
    <w:rsid w:val="00B949A4"/>
    <w:rsid w:val="00B95929"/>
    <w:rsid w:val="00BA3291"/>
    <w:rsid w:val="00BA5CEF"/>
    <w:rsid w:val="00BF0828"/>
    <w:rsid w:val="00BF7613"/>
    <w:rsid w:val="00C25F46"/>
    <w:rsid w:val="00C42D6B"/>
    <w:rsid w:val="00C561D0"/>
    <w:rsid w:val="00C6491B"/>
    <w:rsid w:val="00C72BAD"/>
    <w:rsid w:val="00C75801"/>
    <w:rsid w:val="00C815E3"/>
    <w:rsid w:val="00C82FAA"/>
    <w:rsid w:val="00CA2F5D"/>
    <w:rsid w:val="00CA6251"/>
    <w:rsid w:val="00CE65D0"/>
    <w:rsid w:val="00CE7B46"/>
    <w:rsid w:val="00D0578D"/>
    <w:rsid w:val="00D13817"/>
    <w:rsid w:val="00D17B8A"/>
    <w:rsid w:val="00D21EBB"/>
    <w:rsid w:val="00D52764"/>
    <w:rsid w:val="00D56E94"/>
    <w:rsid w:val="00D7231D"/>
    <w:rsid w:val="00D742A6"/>
    <w:rsid w:val="00D8660A"/>
    <w:rsid w:val="00D9231F"/>
    <w:rsid w:val="00DB1291"/>
    <w:rsid w:val="00DB1C72"/>
    <w:rsid w:val="00DD462C"/>
    <w:rsid w:val="00DD4956"/>
    <w:rsid w:val="00DD730E"/>
    <w:rsid w:val="00DF57B3"/>
    <w:rsid w:val="00E1656B"/>
    <w:rsid w:val="00E1661D"/>
    <w:rsid w:val="00E32115"/>
    <w:rsid w:val="00E33A8D"/>
    <w:rsid w:val="00E35A91"/>
    <w:rsid w:val="00E517DC"/>
    <w:rsid w:val="00E60F6F"/>
    <w:rsid w:val="00E81FCC"/>
    <w:rsid w:val="00EB48C5"/>
    <w:rsid w:val="00EB61D4"/>
    <w:rsid w:val="00EC4F11"/>
    <w:rsid w:val="00EC7789"/>
    <w:rsid w:val="00F02305"/>
    <w:rsid w:val="00F17817"/>
    <w:rsid w:val="00F42304"/>
    <w:rsid w:val="00F4500C"/>
    <w:rsid w:val="00F64DF8"/>
    <w:rsid w:val="00F8624C"/>
    <w:rsid w:val="00F97B35"/>
    <w:rsid w:val="00FA4918"/>
    <w:rsid w:val="00FA497F"/>
    <w:rsid w:val="00FB625A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12D5-8C5D-4B8B-8E11-669D0827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5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32115"/>
    <w:pPr>
      <w:keepNext/>
      <w:spacing w:line="288" w:lineRule="auto"/>
      <w:jc w:val="center"/>
      <w:outlineLvl w:val="1"/>
    </w:pPr>
    <w:rPr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D78D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D78D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AD78DF"/>
  </w:style>
  <w:style w:type="paragraph" w:customStyle="1" w:styleId="01-Minuta-CLG">
    <w:name w:val="01 - Minuta - CLG"/>
    <w:link w:val="01-Minuta-CLGChar"/>
    <w:rsid w:val="00AD78DF"/>
    <w:pPr>
      <w:spacing w:after="180"/>
      <w:jc w:val="center"/>
    </w:pPr>
    <w:rPr>
      <w:sz w:val="24"/>
    </w:rPr>
  </w:style>
  <w:style w:type="paragraph" w:customStyle="1" w:styleId="02-TtuloPrincipal-CLG">
    <w:name w:val="02 - Título Principal - CLG"/>
    <w:link w:val="02-TtuloPrincipal-CLGChar"/>
    <w:rsid w:val="00AD78DF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AD78DF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AD78DF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AD78DF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AD78DF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AD78DF"/>
    <w:pPr>
      <w:spacing w:after="360"/>
      <w:ind w:firstLine="1418"/>
      <w:jc w:val="both"/>
    </w:pPr>
    <w:rPr>
      <w:sz w:val="28"/>
    </w:rPr>
  </w:style>
  <w:style w:type="character" w:customStyle="1" w:styleId="01-Minuta-CLGChar">
    <w:name w:val="01 - Minuta - CLG Char"/>
    <w:basedOn w:val="Fontepargpadro"/>
    <w:link w:val="01-Minuta-CLG"/>
    <w:rsid w:val="00AD78DF"/>
    <w:rPr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AD78DF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AD78DF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AD78DF"/>
    <w:rPr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rsid w:val="00AD78DF"/>
    <w:rPr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link w:val="05-Subttulo-CLG"/>
    <w:rsid w:val="00AD78DF"/>
    <w:rPr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AD78DF"/>
    <w:rPr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rsid w:val="00AD78DF"/>
    <w:rPr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rsid w:val="00AD78DF"/>
    <w:rPr>
      <w:sz w:val="28"/>
      <w:lang w:val="pt-BR" w:eastAsia="pt-BR" w:bidi="ar-SA"/>
    </w:rPr>
  </w:style>
  <w:style w:type="paragraph" w:customStyle="1" w:styleId="07-Citaolegal-CLG">
    <w:name w:val="07 - Citação legal - CLG"/>
    <w:link w:val="07-Citaolegal-CLGCharChar"/>
    <w:rsid w:val="00AD78DF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AD78DF"/>
    <w:pPr>
      <w:spacing w:after="480"/>
      <w:ind w:left="1985" w:firstLine="567"/>
      <w:jc w:val="both"/>
    </w:pPr>
    <w:rPr>
      <w:sz w:val="24"/>
    </w:rPr>
  </w:style>
  <w:style w:type="paragraph" w:customStyle="1" w:styleId="09-Ttuloemenda-CLG">
    <w:name w:val="09 - Título emenda - CLG"/>
    <w:link w:val="09-Ttuloemenda-CLGChar"/>
    <w:rsid w:val="00AD78DF"/>
    <w:pPr>
      <w:spacing w:before="480" w:after="360"/>
      <w:jc w:val="center"/>
    </w:pPr>
    <w:rPr>
      <w:b/>
      <w:bCs/>
      <w:spacing w:val="-4"/>
      <w:sz w:val="28"/>
    </w:rPr>
  </w:style>
  <w:style w:type="paragraph" w:styleId="Textodebalo">
    <w:name w:val="Balloon Text"/>
    <w:basedOn w:val="Normal"/>
    <w:semiHidden/>
    <w:rsid w:val="00EC778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800AAC"/>
    <w:rPr>
      <w:sz w:val="16"/>
      <w:szCs w:val="16"/>
    </w:rPr>
  </w:style>
  <w:style w:type="paragraph" w:styleId="Textodecomentrio">
    <w:name w:val="annotation text"/>
    <w:basedOn w:val="Normal"/>
    <w:semiHidden/>
    <w:rsid w:val="00800A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00AAC"/>
    <w:rPr>
      <w:b/>
      <w:bCs/>
    </w:rPr>
  </w:style>
  <w:style w:type="paragraph" w:customStyle="1" w:styleId="02-EmentaEstudoNota-CLG">
    <w:name w:val="02 - Ementa Estudo Nota - CLG"/>
    <w:link w:val="02-EmentaEstudoNota-CLGChar"/>
    <w:rsid w:val="00551EC3"/>
    <w:pPr>
      <w:spacing w:after="1200"/>
      <w:ind w:left="3686"/>
      <w:jc w:val="both"/>
    </w:pPr>
    <w:rPr>
      <w:sz w:val="24"/>
    </w:rPr>
  </w:style>
  <w:style w:type="paragraph" w:customStyle="1" w:styleId="04-PargrafodetextoEstudoNotas-CLG">
    <w:name w:val="04 - Parágrafo de texto Estudo Notas - CLG"/>
    <w:link w:val="04-PargrafodetextoEstudoNotas-CLGChar"/>
    <w:rsid w:val="00551EC3"/>
    <w:pPr>
      <w:spacing w:after="360" w:line="360" w:lineRule="auto"/>
      <w:ind w:firstLine="1418"/>
      <w:jc w:val="both"/>
    </w:pPr>
    <w:rPr>
      <w:sz w:val="28"/>
    </w:rPr>
  </w:style>
  <w:style w:type="character" w:customStyle="1" w:styleId="02-EmentaEstudoNota-CLGChar">
    <w:name w:val="02 - Ementa Estudo Nota - CLG Char"/>
    <w:basedOn w:val="Fontepargpadro"/>
    <w:link w:val="02-EmentaEstudoNota-CLG"/>
    <w:rsid w:val="00551EC3"/>
    <w:rPr>
      <w:sz w:val="24"/>
      <w:lang w:val="pt-BR" w:eastAsia="pt-BR" w:bidi="ar-SA"/>
    </w:rPr>
  </w:style>
  <w:style w:type="character" w:customStyle="1" w:styleId="04-PargrafodetextoEstudoNotas-CLGChar">
    <w:name w:val="04 - Parágrafo de texto Estudo Notas - CLG Char"/>
    <w:basedOn w:val="Fontepargpadro"/>
    <w:link w:val="04-PargrafodetextoEstudoNotas-CLG"/>
    <w:rsid w:val="00551EC3"/>
    <w:rPr>
      <w:sz w:val="28"/>
      <w:lang w:val="pt-BR" w:eastAsia="pt-BR" w:bidi="ar-SA"/>
    </w:rPr>
  </w:style>
  <w:style w:type="character" w:customStyle="1" w:styleId="09-Ttuloemenda-CLGChar">
    <w:name w:val="09 - Título emenda - CLG Char"/>
    <w:basedOn w:val="Fontepargpadro"/>
    <w:link w:val="09-Ttuloemenda-CLG"/>
    <w:rsid w:val="00DD4956"/>
    <w:rPr>
      <w:b/>
      <w:bCs/>
      <w:spacing w:val="-4"/>
      <w:sz w:val="28"/>
      <w:lang w:val="pt-BR" w:eastAsia="pt-BR" w:bidi="ar-SA"/>
    </w:rPr>
  </w:style>
  <w:style w:type="paragraph" w:customStyle="1" w:styleId="05-Pargrafodetexto-CLG">
    <w:name w:val="05 - Parágrafo de texto - CLG"/>
    <w:link w:val="05-Pargrafodetexto-CLGChar"/>
    <w:rsid w:val="00DD4956"/>
    <w:pPr>
      <w:spacing w:after="360"/>
      <w:ind w:firstLine="1418"/>
      <w:jc w:val="both"/>
    </w:pPr>
    <w:rPr>
      <w:sz w:val="28"/>
    </w:rPr>
  </w:style>
  <w:style w:type="character" w:customStyle="1" w:styleId="05-Pargrafodetexto-CLGChar">
    <w:name w:val="05 - Parágrafo de texto - CLG Char"/>
    <w:basedOn w:val="Fontepargpadro"/>
    <w:link w:val="05-Pargrafodetexto-CLG"/>
    <w:rsid w:val="00DD4956"/>
    <w:rPr>
      <w:sz w:val="28"/>
      <w:lang w:val="pt-BR" w:eastAsia="pt-BR" w:bidi="ar-SA"/>
    </w:rPr>
  </w:style>
  <w:style w:type="character" w:customStyle="1" w:styleId="07-Citaolegal-CLGCharChar">
    <w:name w:val="07 - Citação legal - CLG Char Char"/>
    <w:basedOn w:val="Fontepargpadro"/>
    <w:link w:val="07-Citaolegal-CLG"/>
    <w:rsid w:val="00DD4956"/>
    <w:rPr>
      <w:bCs/>
      <w:sz w:val="24"/>
      <w:lang w:val="pt-BR" w:eastAsia="pt-BR" w:bidi="ar-SA"/>
    </w:rPr>
  </w:style>
  <w:style w:type="character" w:customStyle="1" w:styleId="08-Citaolegal-ltimalinha-CLGCharChar">
    <w:name w:val="08 - Citação legal - última linha - CLG Char Char"/>
    <w:basedOn w:val="Fontepargpadro"/>
    <w:link w:val="08-Citaolegal-ltimalinha-CLG"/>
    <w:rsid w:val="00DD4956"/>
    <w:rPr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E32115"/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639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mcmsilva</dc:creator>
  <cp:keywords/>
  <cp:lastModifiedBy>Carolina Reis Bazzo da Riva</cp:lastModifiedBy>
  <cp:revision>2</cp:revision>
  <cp:lastPrinted>2012-11-20T14:45:00Z</cp:lastPrinted>
  <dcterms:created xsi:type="dcterms:W3CDTF">2016-02-23T16:40:00Z</dcterms:created>
  <dcterms:modified xsi:type="dcterms:W3CDTF">2016-02-23T16:40:00Z</dcterms:modified>
</cp:coreProperties>
</file>